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F3DA" w14:textId="77777777" w:rsidR="00F55654" w:rsidRPr="00C516DD" w:rsidRDefault="00F55654" w:rsidP="00F55654">
      <w:pPr>
        <w:pStyle w:val="Heading1"/>
        <w:spacing w:after="120"/>
        <w:rPr>
          <w:rStyle w:val="Heading2Char"/>
        </w:rPr>
      </w:pPr>
      <w:r>
        <w:t>Course Information</w:t>
      </w:r>
    </w:p>
    <w:p w14:paraId="783EE1FC" w14:textId="6C217F47" w:rsidR="00F55654" w:rsidRPr="00C516DD" w:rsidRDefault="00F55654" w:rsidP="00F55654">
      <w:pPr>
        <w:spacing w:after="120"/>
        <w:rPr>
          <w:rFonts w:cs="Arial"/>
        </w:rPr>
      </w:pPr>
      <w:bookmarkStart w:id="0" w:name="_Hlk44330152"/>
      <w:r w:rsidRPr="00C516DD">
        <w:rPr>
          <w:rStyle w:val="Heading2Char"/>
        </w:rPr>
        <w:t>Course Number and Title:</w:t>
      </w:r>
      <w:r w:rsidRPr="00C516DD">
        <w:rPr>
          <w:rFonts w:cs="Arial"/>
        </w:rPr>
        <w:t xml:space="preserve"> CADS </w:t>
      </w:r>
      <w:r>
        <w:rPr>
          <w:rFonts w:cs="Arial"/>
        </w:rPr>
        <w:t>1700</w:t>
      </w:r>
      <w:r w:rsidRPr="00C516DD">
        <w:rPr>
          <w:rFonts w:cs="Arial"/>
        </w:rPr>
        <w:t xml:space="preserve"> </w:t>
      </w:r>
      <w:r>
        <w:rPr>
          <w:rFonts w:cs="Arial"/>
        </w:rPr>
        <w:t>Giving and Sharing</w:t>
      </w:r>
      <w:r w:rsidRPr="00C516DD">
        <w:rPr>
          <w:rFonts w:cs="Arial"/>
        </w:rPr>
        <w:t xml:space="preserve"> </w:t>
      </w:r>
    </w:p>
    <w:p w14:paraId="1F70810D" w14:textId="77777777" w:rsidR="00F55654" w:rsidRPr="00C516DD" w:rsidRDefault="00F55654" w:rsidP="00F55654">
      <w:pPr>
        <w:spacing w:after="0"/>
        <w:rPr>
          <w:rFonts w:cs="Arial"/>
        </w:rPr>
      </w:pPr>
      <w:r w:rsidRPr="00C516DD">
        <w:rPr>
          <w:rFonts w:cs="Arial"/>
        </w:rPr>
        <w:t>Instructor: Peter C. Weber, PhD.</w:t>
      </w:r>
    </w:p>
    <w:p w14:paraId="3A1396FB" w14:textId="3B20DBA7" w:rsidR="00F55654" w:rsidRPr="00C516DD" w:rsidRDefault="00F55654" w:rsidP="00F55654">
      <w:pPr>
        <w:spacing w:after="0"/>
        <w:rPr>
          <w:rFonts w:cs="Arial"/>
        </w:rPr>
      </w:pPr>
      <w:r w:rsidRPr="00C516DD">
        <w:rPr>
          <w:rFonts w:cs="Arial"/>
        </w:rPr>
        <w:t xml:space="preserve">Class time: </w:t>
      </w:r>
      <w:r w:rsidR="00915316" w:rsidRPr="00915316">
        <w:rPr>
          <w:rFonts w:cs="Arial"/>
        </w:rPr>
        <w:t>12:30 pm - 1:45 p</w:t>
      </w:r>
      <w:r w:rsidR="00915316">
        <w:rPr>
          <w:rFonts w:cs="Arial"/>
        </w:rPr>
        <w:t>m</w:t>
      </w:r>
    </w:p>
    <w:p w14:paraId="1C93EB0F" w14:textId="3264A6D8" w:rsidR="00F55654" w:rsidRPr="00C516DD" w:rsidRDefault="00F55654" w:rsidP="00F55654">
      <w:pPr>
        <w:spacing w:after="0"/>
        <w:rPr>
          <w:rFonts w:cs="Arial"/>
        </w:rPr>
      </w:pPr>
      <w:r w:rsidRPr="00C516DD">
        <w:rPr>
          <w:rFonts w:cs="Arial"/>
        </w:rPr>
        <w:t>Classroom:</w:t>
      </w:r>
      <w:r w:rsidRPr="00C516DD">
        <w:t xml:space="preserve"> </w:t>
      </w:r>
      <w:proofErr w:type="spellStart"/>
      <w:r w:rsidR="00915316" w:rsidRPr="00915316">
        <w:rPr>
          <w:rFonts w:cs="Arial"/>
        </w:rPr>
        <w:t>Draughon</w:t>
      </w:r>
      <w:proofErr w:type="spellEnd"/>
      <w:r w:rsidR="00915316" w:rsidRPr="00915316">
        <w:rPr>
          <w:rFonts w:cs="Arial"/>
        </w:rPr>
        <w:t xml:space="preserve"> Library 4041</w:t>
      </w:r>
    </w:p>
    <w:p w14:paraId="71AD6A0D" w14:textId="77777777" w:rsidR="00F55654" w:rsidRPr="00C516DD" w:rsidRDefault="00F55654" w:rsidP="00F55654">
      <w:pPr>
        <w:pStyle w:val="Heading2"/>
        <w:spacing w:after="120"/>
        <w:rPr>
          <w:i/>
        </w:rPr>
      </w:pPr>
      <w:r w:rsidRPr="00C516DD">
        <w:t xml:space="preserve">Contact Information: </w:t>
      </w:r>
    </w:p>
    <w:p w14:paraId="24CA5921" w14:textId="77777777" w:rsidR="00F55654" w:rsidRPr="00915316" w:rsidRDefault="00F55654" w:rsidP="00F55654">
      <w:pPr>
        <w:spacing w:after="0"/>
        <w:rPr>
          <w:rStyle w:val="SubtleEmphasis"/>
          <w:i w:val="0"/>
          <w:iCs w:val="0"/>
          <w:color w:val="auto"/>
        </w:rPr>
      </w:pPr>
      <w:r w:rsidRPr="00915316">
        <w:rPr>
          <w:rStyle w:val="SubtleEmphasis"/>
          <w:i w:val="0"/>
          <w:iCs w:val="0"/>
          <w:color w:val="auto"/>
        </w:rPr>
        <w:t>Office: 372E Spidle Hall</w:t>
      </w:r>
    </w:p>
    <w:p w14:paraId="01CA09C1" w14:textId="77777777" w:rsidR="00F55654" w:rsidRPr="00915316" w:rsidRDefault="00F55654" w:rsidP="00F55654">
      <w:pPr>
        <w:spacing w:after="0"/>
        <w:rPr>
          <w:rStyle w:val="SubtleEmphasis"/>
          <w:i w:val="0"/>
          <w:iCs w:val="0"/>
          <w:color w:val="auto"/>
        </w:rPr>
      </w:pPr>
      <w:r w:rsidRPr="00915316">
        <w:rPr>
          <w:rStyle w:val="SubtleEmphasis"/>
          <w:i w:val="0"/>
          <w:iCs w:val="0"/>
          <w:color w:val="auto"/>
        </w:rPr>
        <w:t>Office phone: 334-844-6457</w:t>
      </w:r>
    </w:p>
    <w:p w14:paraId="3EE4DE85" w14:textId="77777777" w:rsidR="00F55654" w:rsidRPr="00C516DD" w:rsidRDefault="00F55654" w:rsidP="00F55654">
      <w:pPr>
        <w:spacing w:after="0"/>
        <w:rPr>
          <w:rStyle w:val="SubtleEmphasis"/>
          <w:i w:val="0"/>
          <w:iCs w:val="0"/>
        </w:rPr>
      </w:pPr>
      <w:r w:rsidRPr="00915316">
        <w:rPr>
          <w:rStyle w:val="SubtleEmphasis"/>
          <w:i w:val="0"/>
          <w:iCs w:val="0"/>
          <w:color w:val="auto"/>
        </w:rPr>
        <w:t xml:space="preserve">Email: </w:t>
      </w:r>
      <w:hyperlink r:id="rId5" w:history="1">
        <w:r w:rsidRPr="00C516DD">
          <w:rPr>
            <w:rStyle w:val="Hyperlink"/>
          </w:rPr>
          <w:t>pcw0015@auborn.edu</w:t>
        </w:r>
      </w:hyperlink>
      <w:r w:rsidRPr="00C516DD">
        <w:rPr>
          <w:rStyle w:val="SubtleEmphasis"/>
        </w:rPr>
        <w:t xml:space="preserve"> </w:t>
      </w:r>
    </w:p>
    <w:p w14:paraId="6D397101" w14:textId="59A60717" w:rsidR="00F55654" w:rsidRPr="00915316" w:rsidRDefault="00F55654" w:rsidP="00F55654">
      <w:pPr>
        <w:spacing w:after="120"/>
        <w:rPr>
          <w:i/>
          <w:iCs/>
        </w:rPr>
      </w:pPr>
      <w:r w:rsidRPr="00915316">
        <w:rPr>
          <w:rStyle w:val="SubtleEmphasis"/>
          <w:i w:val="0"/>
          <w:iCs w:val="0"/>
          <w:color w:val="auto"/>
        </w:rPr>
        <w:t xml:space="preserve">Office hours: </w:t>
      </w:r>
      <w:r w:rsidR="00915316" w:rsidRPr="0095072A">
        <w:t>TR 2:00-4:00 and by appointment</w:t>
      </w:r>
    </w:p>
    <w:p w14:paraId="4FB1184B" w14:textId="209919F2" w:rsidR="00F55654" w:rsidRPr="00C516DD" w:rsidRDefault="00F55654" w:rsidP="00F55654">
      <w:pPr>
        <w:spacing w:after="120"/>
        <w:rPr>
          <w:rFonts w:cs="Arial"/>
        </w:rPr>
      </w:pPr>
      <w:r w:rsidRPr="00C516DD">
        <w:rPr>
          <w:rStyle w:val="Heading2Char"/>
        </w:rPr>
        <w:t>Course Description</w:t>
      </w:r>
      <w:r w:rsidRPr="00C516DD">
        <w:rPr>
          <w:rStyle w:val="SubtitleChar"/>
        </w:rPr>
        <w:t>:</w:t>
      </w:r>
      <w:r w:rsidRPr="00C516DD">
        <w:rPr>
          <w:rFonts w:cs="Arial"/>
        </w:rPr>
        <w:t xml:space="preserve"> </w:t>
      </w:r>
      <w:r w:rsidR="00B854DF" w:rsidRPr="00C516DD">
        <w:rPr>
          <w:rFonts w:cs="Arial"/>
        </w:rPr>
        <w:t xml:space="preserve">CADS </w:t>
      </w:r>
      <w:r w:rsidR="00B854DF">
        <w:rPr>
          <w:rFonts w:cs="Arial"/>
        </w:rPr>
        <w:t>1700</w:t>
      </w:r>
      <w:r w:rsidR="00B854DF" w:rsidRPr="00C516DD">
        <w:rPr>
          <w:rFonts w:cs="Arial"/>
        </w:rPr>
        <w:t xml:space="preserve"> </w:t>
      </w:r>
      <w:r w:rsidR="00B854DF">
        <w:rPr>
          <w:rFonts w:cs="Arial"/>
        </w:rPr>
        <w:t>Giving and Sharing</w:t>
      </w:r>
      <w:r w:rsidRPr="00A54B58">
        <w:rPr>
          <w:rFonts w:cs="Arial"/>
        </w:rPr>
        <w:t xml:space="preserve">. </w:t>
      </w:r>
      <w:r w:rsidR="00B854DF" w:rsidRPr="00B854DF">
        <w:rPr>
          <w:rFonts w:cs="Arial"/>
        </w:rPr>
        <w:t xml:space="preserve">An exploration of traditions of American philanthropy. Students will reflect on their experiences with giving and apply philanthropic traditions to their own lives, service experiences, educational and professional goals, and visions for a better world. The course includes a service-learning component. </w:t>
      </w:r>
      <w:r w:rsidRPr="00C516DD">
        <w:rPr>
          <w:rFonts w:cs="Arial"/>
        </w:rPr>
        <w:t>(3 credit hours).</w:t>
      </w:r>
    </w:p>
    <w:p w14:paraId="57FDC27F" w14:textId="77777777" w:rsidR="00F55654" w:rsidRPr="00C516DD" w:rsidRDefault="00F55654" w:rsidP="00F55654">
      <w:pPr>
        <w:spacing w:after="120"/>
        <w:rPr>
          <w:rFonts w:cs="Arial"/>
        </w:rPr>
      </w:pPr>
      <w:r w:rsidRPr="00C516DD">
        <w:rPr>
          <w:rStyle w:val="Heading2Char"/>
        </w:rPr>
        <w:t>Course Prerequisites:</w:t>
      </w:r>
      <w:r w:rsidRPr="00C516DD">
        <w:rPr>
          <w:rFonts w:cs="Arial"/>
        </w:rPr>
        <w:t xml:space="preserve"> None.</w:t>
      </w:r>
    </w:p>
    <w:p w14:paraId="3D1B6664" w14:textId="77777777" w:rsidR="00F55654" w:rsidRPr="00C516DD" w:rsidRDefault="00F55654" w:rsidP="00F55654">
      <w:pPr>
        <w:pStyle w:val="Heading1"/>
        <w:spacing w:after="120"/>
      </w:pPr>
      <w:r w:rsidRPr="00C516DD">
        <w:t>Outcomes and Objectives</w:t>
      </w:r>
    </w:p>
    <w:p w14:paraId="5F33E584" w14:textId="77777777" w:rsidR="00F55654" w:rsidRPr="00112594" w:rsidRDefault="00F55654" w:rsidP="00F55654">
      <w:pPr>
        <w:spacing w:after="120"/>
        <w:rPr>
          <w:rFonts w:cs="Arial"/>
          <w:color w:val="000000" w:themeColor="text1"/>
        </w:rPr>
      </w:pPr>
      <w:r w:rsidRPr="00112594">
        <w:rPr>
          <w:rStyle w:val="Heading2Char"/>
        </w:rPr>
        <w:t>Student Learning Outcomes (SLOs)</w:t>
      </w:r>
      <w:r w:rsidRPr="00112594">
        <w:rPr>
          <w:rFonts w:cs="Arial"/>
          <w:color w:val="000000" w:themeColor="text1"/>
        </w:rPr>
        <w:t>: Students will</w:t>
      </w:r>
    </w:p>
    <w:p w14:paraId="27C9770D" w14:textId="691E9644" w:rsidR="000E52F1" w:rsidRDefault="000E52F1" w:rsidP="000E52F1">
      <w:pPr>
        <w:pStyle w:val="ListParagraph"/>
        <w:numPr>
          <w:ilvl w:val="0"/>
          <w:numId w:val="4"/>
        </w:numPr>
        <w:spacing w:after="120"/>
        <w:rPr>
          <w:rFonts w:cs="Arial"/>
          <w:bCs/>
        </w:rPr>
      </w:pPr>
      <w:r w:rsidRPr="000E52F1">
        <w:rPr>
          <w:rFonts w:cs="Arial"/>
          <w:bCs/>
        </w:rPr>
        <w:t>Articulate critical issues, distinctions, and concepts regarding the structure and evolution of the</w:t>
      </w:r>
      <w:r>
        <w:rPr>
          <w:rFonts w:cs="Arial"/>
          <w:bCs/>
        </w:rPr>
        <w:t xml:space="preserve"> </w:t>
      </w:r>
      <w:r w:rsidRPr="000E52F1">
        <w:rPr>
          <w:rFonts w:cs="Arial"/>
          <w:bCs/>
        </w:rPr>
        <w:t xml:space="preserve">American practice of charity and </w:t>
      </w:r>
      <w:r w:rsidR="000E041E" w:rsidRPr="000E52F1">
        <w:rPr>
          <w:rFonts w:cs="Arial"/>
          <w:bCs/>
        </w:rPr>
        <w:t>philanthropy.</w:t>
      </w:r>
    </w:p>
    <w:p w14:paraId="51CDA2FB" w14:textId="38CC2618" w:rsidR="000E52F1" w:rsidRDefault="000E52F1" w:rsidP="000E52F1">
      <w:pPr>
        <w:pStyle w:val="ListParagraph"/>
        <w:numPr>
          <w:ilvl w:val="0"/>
          <w:numId w:val="4"/>
        </w:numPr>
        <w:spacing w:after="120"/>
        <w:rPr>
          <w:rFonts w:cs="Arial"/>
          <w:bCs/>
        </w:rPr>
      </w:pPr>
      <w:r w:rsidRPr="000E52F1">
        <w:rPr>
          <w:rFonts w:cs="Arial"/>
          <w:bCs/>
        </w:rPr>
        <w:t xml:space="preserve">Discuss trends and patterns in the public conversation about and practice of American </w:t>
      </w:r>
      <w:r w:rsidR="000E041E" w:rsidRPr="000E52F1">
        <w:rPr>
          <w:rFonts w:cs="Arial"/>
          <w:bCs/>
        </w:rPr>
        <w:t>philanthropy.</w:t>
      </w:r>
    </w:p>
    <w:p w14:paraId="4812B6E2" w14:textId="7C04F7CB" w:rsidR="000E52F1" w:rsidRDefault="000E52F1" w:rsidP="000E52F1">
      <w:pPr>
        <w:pStyle w:val="ListParagraph"/>
        <w:numPr>
          <w:ilvl w:val="0"/>
          <w:numId w:val="4"/>
        </w:numPr>
        <w:spacing w:after="120"/>
        <w:rPr>
          <w:rFonts w:cs="Arial"/>
          <w:bCs/>
        </w:rPr>
      </w:pPr>
      <w:r w:rsidRPr="000E52F1">
        <w:rPr>
          <w:rFonts w:cs="Arial"/>
          <w:bCs/>
        </w:rPr>
        <w:t>Apply concepts in philanthropy to past experiences with giving and volunteering in a philanthropic</w:t>
      </w:r>
      <w:r>
        <w:rPr>
          <w:rFonts w:cs="Arial"/>
          <w:bCs/>
        </w:rPr>
        <w:t xml:space="preserve"> </w:t>
      </w:r>
      <w:r w:rsidR="000E041E" w:rsidRPr="000E52F1">
        <w:rPr>
          <w:rFonts w:cs="Arial"/>
          <w:bCs/>
        </w:rPr>
        <w:t>autobiography.</w:t>
      </w:r>
    </w:p>
    <w:p w14:paraId="733A059B" w14:textId="10971114" w:rsidR="000E041E" w:rsidRPr="000E041E" w:rsidRDefault="000E52F1" w:rsidP="000E52F1">
      <w:pPr>
        <w:pStyle w:val="ListParagraph"/>
        <w:numPr>
          <w:ilvl w:val="0"/>
          <w:numId w:val="4"/>
        </w:numPr>
        <w:spacing w:after="120"/>
        <w:rPr>
          <w:rFonts w:cs="Arial"/>
          <w:bCs/>
        </w:rPr>
      </w:pPr>
      <w:r w:rsidRPr="000E52F1">
        <w:rPr>
          <w:rFonts w:cs="Arial"/>
          <w:bCs/>
        </w:rPr>
        <w:t xml:space="preserve">Reflect on a service-learning experience conducted during the semester and apply that </w:t>
      </w:r>
      <w:r w:rsidR="000E041E" w:rsidRPr="000E52F1">
        <w:rPr>
          <w:rFonts w:cs="Arial"/>
          <w:bCs/>
        </w:rPr>
        <w:t>experience</w:t>
      </w:r>
      <w:r w:rsidR="000E041E">
        <w:rPr>
          <w:rFonts w:cs="Arial"/>
          <w:bCs/>
        </w:rPr>
        <w:t xml:space="preserve"> </w:t>
      </w:r>
      <w:r w:rsidRPr="000E041E">
        <w:rPr>
          <w:rFonts w:cs="Arial"/>
          <w:bCs/>
        </w:rPr>
        <w:t>to one or more of the key concepts in philanthrop</w:t>
      </w:r>
      <w:r w:rsidR="000E041E">
        <w:rPr>
          <w:rFonts w:cs="Arial"/>
          <w:bCs/>
        </w:rPr>
        <w:t>y.</w:t>
      </w:r>
    </w:p>
    <w:p w14:paraId="1713C33A" w14:textId="5BC43B39" w:rsidR="00F55654" w:rsidRPr="00112594" w:rsidRDefault="00F55654" w:rsidP="000E52F1">
      <w:pPr>
        <w:spacing w:after="120"/>
        <w:rPr>
          <w:rFonts w:cs="Arial"/>
        </w:rPr>
      </w:pPr>
      <w:r w:rsidRPr="00112594">
        <w:rPr>
          <w:rStyle w:val="Heading2Char"/>
        </w:rPr>
        <w:t>Objectives:</w:t>
      </w:r>
      <w:r w:rsidRPr="00112594">
        <w:rPr>
          <w:rFonts w:cs="Arial"/>
        </w:rPr>
        <w:t xml:space="preserve"> The goal of the course is  </w:t>
      </w:r>
    </w:p>
    <w:p w14:paraId="54ACB3D4" w14:textId="490D4917" w:rsidR="00F55654" w:rsidRPr="00112594" w:rsidRDefault="00A82E79" w:rsidP="00F55654">
      <w:pPr>
        <w:pStyle w:val="ListParagraph"/>
        <w:numPr>
          <w:ilvl w:val="0"/>
          <w:numId w:val="5"/>
        </w:numPr>
        <w:spacing w:after="120"/>
        <w:rPr>
          <w:rFonts w:cs="Arial"/>
        </w:rPr>
      </w:pPr>
      <w:r w:rsidRPr="00112594">
        <w:rPr>
          <w:rFonts w:cs="Arial"/>
        </w:rPr>
        <w:t>Assess knowledge and beliefs regarding a wide range of issues impacting the nonprofit sector, now and in the future</w:t>
      </w:r>
      <w:r w:rsidR="00F55654" w:rsidRPr="00112594">
        <w:rPr>
          <w:rFonts w:cs="Arial"/>
        </w:rPr>
        <w:t>.</w:t>
      </w:r>
    </w:p>
    <w:p w14:paraId="1DB9C103" w14:textId="3DF43833" w:rsidR="00112594" w:rsidRDefault="00112594" w:rsidP="00112594">
      <w:pPr>
        <w:pStyle w:val="ListParagraph"/>
        <w:numPr>
          <w:ilvl w:val="0"/>
          <w:numId w:val="5"/>
        </w:numPr>
        <w:spacing w:after="120"/>
        <w:rPr>
          <w:rFonts w:cs="Arial"/>
        </w:rPr>
      </w:pPr>
      <w:r w:rsidRPr="00112594">
        <w:rPr>
          <w:rFonts w:cs="Arial"/>
        </w:rPr>
        <w:t>Deepen understanding of the impact of trends and issues on the work of the nonprofit sector through a service-learning experience with a local nonprofit organization.</w:t>
      </w:r>
    </w:p>
    <w:p w14:paraId="5492C6A2" w14:textId="2DAF50AB" w:rsidR="000E52F1" w:rsidRPr="000E52F1" w:rsidRDefault="000E52F1" w:rsidP="000E52F1">
      <w:pPr>
        <w:pStyle w:val="ListParagraph"/>
        <w:numPr>
          <w:ilvl w:val="0"/>
          <w:numId w:val="5"/>
        </w:numPr>
        <w:spacing w:after="120"/>
        <w:rPr>
          <w:rFonts w:cs="Arial"/>
        </w:rPr>
      </w:pPr>
      <w:r w:rsidRPr="000E52F1">
        <w:rPr>
          <w:rFonts w:cs="Arial"/>
        </w:rPr>
        <w:t>Examine the relationships among individuals, nonprofit organizations, philanthropic</w:t>
      </w:r>
      <w:r>
        <w:rPr>
          <w:rFonts w:cs="Arial"/>
        </w:rPr>
        <w:t xml:space="preserve"> </w:t>
      </w:r>
      <w:r w:rsidRPr="000E52F1">
        <w:rPr>
          <w:rFonts w:cs="Arial"/>
        </w:rPr>
        <w:t>foundations, communities, and diverse cultures.</w:t>
      </w:r>
    </w:p>
    <w:p w14:paraId="5D1CD611" w14:textId="77AE5401" w:rsidR="000E52F1" w:rsidRPr="00112594" w:rsidRDefault="000E52F1" w:rsidP="000E52F1">
      <w:pPr>
        <w:pStyle w:val="ListParagraph"/>
        <w:numPr>
          <w:ilvl w:val="0"/>
          <w:numId w:val="5"/>
        </w:numPr>
        <w:spacing w:after="120"/>
        <w:rPr>
          <w:rFonts w:cs="Arial"/>
        </w:rPr>
      </w:pPr>
      <w:r w:rsidRPr="000E52F1">
        <w:rPr>
          <w:rFonts w:cs="Arial"/>
        </w:rPr>
        <w:t>Engage in high impact activities to understand philanthropy in real-world contexts.</w:t>
      </w:r>
    </w:p>
    <w:bookmarkEnd w:id="0"/>
    <w:p w14:paraId="007BA64F" w14:textId="77777777" w:rsidR="00F55654" w:rsidRPr="00C516DD" w:rsidRDefault="00F55654" w:rsidP="00F55654">
      <w:pPr>
        <w:pStyle w:val="Heading1"/>
        <w:spacing w:after="120"/>
      </w:pPr>
      <w:r w:rsidRPr="00C516DD">
        <w:lastRenderedPageBreak/>
        <w:t>Assignments, Grading and Class Materials</w:t>
      </w:r>
    </w:p>
    <w:p w14:paraId="22A7D375" w14:textId="77777777" w:rsidR="00F55654" w:rsidRPr="00C516DD" w:rsidRDefault="00F55654" w:rsidP="00F55654">
      <w:pPr>
        <w:spacing w:after="120"/>
        <w:rPr>
          <w:rFonts w:cs="Arial"/>
        </w:rPr>
      </w:pPr>
      <w:r w:rsidRPr="00C516DD">
        <w:rPr>
          <w:rStyle w:val="Heading2Char"/>
        </w:rPr>
        <w:t>Assignments</w:t>
      </w:r>
      <w:r w:rsidRPr="00C516DD">
        <w:rPr>
          <w:rFonts w:cs="Arial"/>
        </w:rPr>
        <w:t xml:space="preserve">: </w:t>
      </w:r>
    </w:p>
    <w:p w14:paraId="1B67F02C" w14:textId="36943CA3" w:rsidR="00F55654" w:rsidRPr="00CE52A1" w:rsidRDefault="00F55654" w:rsidP="00F55654">
      <w:pPr>
        <w:spacing w:after="120"/>
        <w:rPr>
          <w:rFonts w:cs="Arial"/>
        </w:rPr>
      </w:pPr>
      <w:r w:rsidRPr="00CE52A1">
        <w:rPr>
          <w:rFonts w:cs="Arial"/>
        </w:rPr>
        <w:t xml:space="preserve">The assignments are listed below with weights and short descriptions (additional guidelines and rubrics are available on Canvas). In-class </w:t>
      </w:r>
      <w:r w:rsidR="00112594">
        <w:rPr>
          <w:rFonts w:cs="Arial"/>
        </w:rPr>
        <w:t>activities</w:t>
      </w:r>
      <w:r w:rsidRPr="00CE52A1">
        <w:rPr>
          <w:rFonts w:cs="Arial"/>
        </w:rPr>
        <w:t xml:space="preserve"> will support the learning process and help review for midterm and final exams. These exercises and quizzes will not be graded. </w:t>
      </w:r>
      <w:r w:rsidRPr="00CE52A1">
        <w:rPr>
          <w:rFonts w:cs="Arial"/>
          <w:b/>
          <w:bCs/>
        </w:rPr>
        <w:t>No unannounced quizzes will contribute to the final grade</w:t>
      </w:r>
      <w:r w:rsidRPr="00CE52A1">
        <w:rPr>
          <w:rFonts w:cs="Arial"/>
        </w:rPr>
        <w:t xml:space="preserve">. </w:t>
      </w:r>
    </w:p>
    <w:tbl>
      <w:tblPr>
        <w:tblStyle w:val="TableGrid"/>
        <w:tblW w:w="0" w:type="auto"/>
        <w:tblInd w:w="828" w:type="dxa"/>
        <w:tblLook w:val="04A0" w:firstRow="1" w:lastRow="0" w:firstColumn="1" w:lastColumn="0" w:noHBand="0" w:noVBand="1"/>
      </w:tblPr>
      <w:tblGrid>
        <w:gridCol w:w="1597"/>
        <w:gridCol w:w="5310"/>
        <w:gridCol w:w="1121"/>
      </w:tblGrid>
      <w:tr w:rsidR="00F55654" w:rsidRPr="00845C9B" w14:paraId="7A32127D" w14:textId="77777777" w:rsidTr="00C022B1">
        <w:tc>
          <w:tcPr>
            <w:tcW w:w="1597" w:type="dxa"/>
          </w:tcPr>
          <w:p w14:paraId="7D757D98" w14:textId="77777777" w:rsidR="00F55654" w:rsidRPr="00CE52A1" w:rsidRDefault="00F55654" w:rsidP="00C022B1">
            <w:pPr>
              <w:spacing w:after="0"/>
              <w:rPr>
                <w:rFonts w:cs="Arial"/>
                <w:b/>
              </w:rPr>
            </w:pPr>
            <w:r w:rsidRPr="00CE52A1">
              <w:rPr>
                <w:rFonts w:cs="Arial"/>
                <w:b/>
              </w:rPr>
              <w:t>Due date</w:t>
            </w:r>
          </w:p>
        </w:tc>
        <w:tc>
          <w:tcPr>
            <w:tcW w:w="5310" w:type="dxa"/>
          </w:tcPr>
          <w:p w14:paraId="1F601BDB" w14:textId="77777777" w:rsidR="00F55654" w:rsidRPr="00CE52A1" w:rsidRDefault="00F55654" w:rsidP="00C022B1">
            <w:pPr>
              <w:spacing w:after="0"/>
              <w:rPr>
                <w:rFonts w:cs="Arial"/>
                <w:b/>
              </w:rPr>
            </w:pPr>
            <w:r w:rsidRPr="00CE52A1">
              <w:rPr>
                <w:rFonts w:cs="Arial"/>
                <w:b/>
              </w:rPr>
              <w:t>Assignment</w:t>
            </w:r>
          </w:p>
        </w:tc>
        <w:tc>
          <w:tcPr>
            <w:tcW w:w="1121" w:type="dxa"/>
          </w:tcPr>
          <w:p w14:paraId="45196485" w14:textId="77777777" w:rsidR="00F55654" w:rsidRPr="00CE52A1" w:rsidRDefault="00F55654" w:rsidP="00C022B1">
            <w:pPr>
              <w:spacing w:after="0"/>
              <w:rPr>
                <w:rFonts w:cs="Arial"/>
                <w:b/>
              </w:rPr>
            </w:pPr>
            <w:r w:rsidRPr="00CE52A1">
              <w:rPr>
                <w:rFonts w:cs="Arial"/>
                <w:b/>
              </w:rPr>
              <w:t>Weight</w:t>
            </w:r>
          </w:p>
        </w:tc>
      </w:tr>
      <w:tr w:rsidR="00F55654" w:rsidRPr="00845C9B" w14:paraId="7CCE2696" w14:textId="77777777" w:rsidTr="00C022B1">
        <w:tc>
          <w:tcPr>
            <w:tcW w:w="1597" w:type="dxa"/>
          </w:tcPr>
          <w:p w14:paraId="6DFC2CE2" w14:textId="2C139A0B" w:rsidR="00F55654" w:rsidRPr="00CE52A1" w:rsidRDefault="00C022B1" w:rsidP="00C022B1">
            <w:pPr>
              <w:spacing w:after="0"/>
              <w:rPr>
                <w:rFonts w:cs="Arial"/>
              </w:rPr>
            </w:pPr>
            <w:r>
              <w:rPr>
                <w:rFonts w:cs="Arial"/>
              </w:rPr>
              <w:t>Ongoing</w:t>
            </w:r>
          </w:p>
        </w:tc>
        <w:tc>
          <w:tcPr>
            <w:tcW w:w="5310" w:type="dxa"/>
          </w:tcPr>
          <w:p w14:paraId="7E52D475" w14:textId="77777777" w:rsidR="00F55654" w:rsidRPr="00CE52A1" w:rsidRDefault="00F55654" w:rsidP="00C022B1">
            <w:pPr>
              <w:spacing w:after="0"/>
              <w:rPr>
                <w:rFonts w:cs="Arial"/>
              </w:rPr>
            </w:pPr>
            <w:r w:rsidRPr="00CE52A1">
              <w:rPr>
                <w:rFonts w:cs="Arial"/>
              </w:rPr>
              <w:t>Participation (attendance; participation; discussion questions)</w:t>
            </w:r>
          </w:p>
        </w:tc>
        <w:tc>
          <w:tcPr>
            <w:tcW w:w="1121" w:type="dxa"/>
          </w:tcPr>
          <w:p w14:paraId="4AAD7E2B" w14:textId="4AB44198" w:rsidR="00F55654" w:rsidRPr="00CE52A1" w:rsidRDefault="002B4161" w:rsidP="00C022B1">
            <w:pPr>
              <w:spacing w:after="0"/>
              <w:rPr>
                <w:rFonts w:cs="Arial"/>
              </w:rPr>
            </w:pPr>
            <w:r>
              <w:rPr>
                <w:rFonts w:cs="Arial"/>
              </w:rPr>
              <w:t>20</w:t>
            </w:r>
            <w:r w:rsidR="00F55654" w:rsidRPr="00CE52A1">
              <w:rPr>
                <w:rFonts w:cs="Arial"/>
              </w:rPr>
              <w:t>%</w:t>
            </w:r>
          </w:p>
        </w:tc>
      </w:tr>
      <w:tr w:rsidR="00F55654" w:rsidRPr="00845C9B" w14:paraId="7CBA72C5" w14:textId="77777777" w:rsidTr="00C022B1">
        <w:tc>
          <w:tcPr>
            <w:tcW w:w="1597" w:type="dxa"/>
          </w:tcPr>
          <w:p w14:paraId="51CE7ADD" w14:textId="6ED4769D" w:rsidR="00F55654" w:rsidRDefault="00C022B1" w:rsidP="00C022B1">
            <w:pPr>
              <w:spacing w:after="0"/>
              <w:rPr>
                <w:rFonts w:cs="Arial"/>
              </w:rPr>
            </w:pPr>
            <w:r>
              <w:rPr>
                <w:rFonts w:cs="Arial"/>
              </w:rPr>
              <w:t>September 9</w:t>
            </w:r>
          </w:p>
        </w:tc>
        <w:tc>
          <w:tcPr>
            <w:tcW w:w="5310" w:type="dxa"/>
          </w:tcPr>
          <w:p w14:paraId="794C4853" w14:textId="5D6B38AD" w:rsidR="00F55654" w:rsidRPr="00CE52A1" w:rsidRDefault="00F55654" w:rsidP="00C022B1">
            <w:pPr>
              <w:spacing w:after="0"/>
              <w:rPr>
                <w:rFonts w:cs="Arial"/>
              </w:rPr>
            </w:pPr>
            <w:r>
              <w:rPr>
                <w:rFonts w:cs="Arial"/>
              </w:rPr>
              <w:t xml:space="preserve">Philanthropic </w:t>
            </w:r>
            <w:r w:rsidR="00130E42">
              <w:rPr>
                <w:rFonts w:cs="Arial"/>
              </w:rPr>
              <w:t>autobiography</w:t>
            </w:r>
            <w:r>
              <w:rPr>
                <w:rFonts w:cs="Arial"/>
              </w:rPr>
              <w:t xml:space="preserve"> </w:t>
            </w:r>
          </w:p>
        </w:tc>
        <w:tc>
          <w:tcPr>
            <w:tcW w:w="1121" w:type="dxa"/>
          </w:tcPr>
          <w:p w14:paraId="7E7F8266" w14:textId="77777777" w:rsidR="00F55654" w:rsidRPr="00CE52A1" w:rsidRDefault="00F55654" w:rsidP="00C022B1">
            <w:pPr>
              <w:spacing w:after="0"/>
              <w:rPr>
                <w:rFonts w:cs="Arial"/>
              </w:rPr>
            </w:pPr>
            <w:r>
              <w:rPr>
                <w:rFonts w:cs="Arial"/>
              </w:rPr>
              <w:t>5%</w:t>
            </w:r>
          </w:p>
        </w:tc>
      </w:tr>
      <w:tr w:rsidR="00F01FE0" w:rsidRPr="00845C9B" w14:paraId="0C657D32" w14:textId="77777777" w:rsidTr="00C022B1">
        <w:tc>
          <w:tcPr>
            <w:tcW w:w="1597" w:type="dxa"/>
          </w:tcPr>
          <w:p w14:paraId="5F5789F2" w14:textId="01A611C7" w:rsidR="00F01FE0" w:rsidRDefault="00C022B1" w:rsidP="00C022B1">
            <w:pPr>
              <w:spacing w:after="0"/>
              <w:rPr>
                <w:rFonts w:cs="Arial"/>
              </w:rPr>
            </w:pPr>
            <w:r>
              <w:rPr>
                <w:rFonts w:cs="Arial"/>
              </w:rPr>
              <w:t>October 5</w:t>
            </w:r>
          </w:p>
        </w:tc>
        <w:tc>
          <w:tcPr>
            <w:tcW w:w="5310" w:type="dxa"/>
          </w:tcPr>
          <w:p w14:paraId="3C5403CC" w14:textId="72742C8C" w:rsidR="00F01FE0" w:rsidRDefault="00F01FE0" w:rsidP="00C022B1">
            <w:pPr>
              <w:spacing w:after="0"/>
              <w:rPr>
                <w:rFonts w:cs="Arial"/>
              </w:rPr>
            </w:pPr>
            <w:r w:rsidRPr="00F01FE0">
              <w:rPr>
                <w:rFonts w:cs="Arial"/>
              </w:rPr>
              <w:t>Giving and sharing in public discourse</w:t>
            </w:r>
          </w:p>
        </w:tc>
        <w:tc>
          <w:tcPr>
            <w:tcW w:w="1121" w:type="dxa"/>
          </w:tcPr>
          <w:p w14:paraId="7E227EC0" w14:textId="1EEFCEB3" w:rsidR="00F01FE0" w:rsidRDefault="00F01FE0" w:rsidP="00C022B1">
            <w:pPr>
              <w:spacing w:after="0"/>
              <w:rPr>
                <w:rFonts w:cs="Arial"/>
              </w:rPr>
            </w:pPr>
            <w:r w:rsidRPr="00F01FE0">
              <w:rPr>
                <w:rFonts w:cs="Arial"/>
              </w:rPr>
              <w:t>5%</w:t>
            </w:r>
          </w:p>
        </w:tc>
      </w:tr>
      <w:tr w:rsidR="00F55654" w:rsidRPr="00845C9B" w14:paraId="7802AAA4" w14:textId="77777777" w:rsidTr="00C022B1">
        <w:tc>
          <w:tcPr>
            <w:tcW w:w="1597" w:type="dxa"/>
          </w:tcPr>
          <w:p w14:paraId="17D1E92E" w14:textId="2644DB04" w:rsidR="00F55654" w:rsidRPr="00CE52A1" w:rsidRDefault="00C022B1" w:rsidP="00C022B1">
            <w:pPr>
              <w:spacing w:after="0"/>
              <w:rPr>
                <w:rFonts w:cs="Arial"/>
              </w:rPr>
            </w:pPr>
            <w:r>
              <w:rPr>
                <w:rFonts w:cs="Arial"/>
              </w:rPr>
              <w:t>October 19; November 30</w:t>
            </w:r>
          </w:p>
        </w:tc>
        <w:tc>
          <w:tcPr>
            <w:tcW w:w="5310" w:type="dxa"/>
          </w:tcPr>
          <w:p w14:paraId="6AEB35B1" w14:textId="38688072" w:rsidR="00F55654" w:rsidRPr="00CE52A1" w:rsidRDefault="00A96048" w:rsidP="00C022B1">
            <w:pPr>
              <w:spacing w:after="0"/>
              <w:rPr>
                <w:rFonts w:cs="Arial"/>
              </w:rPr>
            </w:pPr>
            <w:r>
              <w:rPr>
                <w:rFonts w:cs="Arial"/>
              </w:rPr>
              <w:t>Service learning</w:t>
            </w:r>
            <w:r w:rsidR="00C022B1">
              <w:rPr>
                <w:rFonts w:cs="Arial"/>
              </w:rPr>
              <w:t xml:space="preserve"> (I and II)</w:t>
            </w:r>
          </w:p>
        </w:tc>
        <w:tc>
          <w:tcPr>
            <w:tcW w:w="1121" w:type="dxa"/>
          </w:tcPr>
          <w:p w14:paraId="5C77B90A" w14:textId="1BADD88C" w:rsidR="00F55654" w:rsidRPr="00CE52A1" w:rsidRDefault="009B4D87" w:rsidP="00C022B1">
            <w:pPr>
              <w:spacing w:after="0"/>
              <w:rPr>
                <w:rFonts w:cs="Arial"/>
              </w:rPr>
            </w:pPr>
            <w:r>
              <w:rPr>
                <w:rFonts w:cs="Arial"/>
              </w:rPr>
              <w:t>25</w:t>
            </w:r>
            <w:r w:rsidR="00F55654" w:rsidRPr="00CE52A1">
              <w:rPr>
                <w:rFonts w:cs="Arial"/>
              </w:rPr>
              <w:t>%</w:t>
            </w:r>
          </w:p>
        </w:tc>
      </w:tr>
      <w:tr w:rsidR="00F55654" w:rsidRPr="00845C9B" w14:paraId="7D887AD0" w14:textId="77777777" w:rsidTr="00C022B1">
        <w:tc>
          <w:tcPr>
            <w:tcW w:w="1597" w:type="dxa"/>
          </w:tcPr>
          <w:p w14:paraId="44639C40" w14:textId="3FE75742" w:rsidR="00F55654" w:rsidRPr="00CE52A1" w:rsidRDefault="00C022B1" w:rsidP="00C022B1">
            <w:pPr>
              <w:spacing w:after="0"/>
              <w:rPr>
                <w:rFonts w:cs="Arial"/>
              </w:rPr>
            </w:pPr>
            <w:r>
              <w:rPr>
                <w:rFonts w:cs="Arial"/>
              </w:rPr>
              <w:t>December 8</w:t>
            </w:r>
          </w:p>
        </w:tc>
        <w:tc>
          <w:tcPr>
            <w:tcW w:w="5310" w:type="dxa"/>
          </w:tcPr>
          <w:p w14:paraId="3C6E2AE0" w14:textId="2ACD97BE" w:rsidR="00F55654" w:rsidRPr="00CE52A1" w:rsidRDefault="00DD1724" w:rsidP="00C022B1">
            <w:pPr>
              <w:spacing w:after="0"/>
              <w:rPr>
                <w:rFonts w:cs="Arial"/>
              </w:rPr>
            </w:pPr>
            <w:r>
              <w:rPr>
                <w:rFonts w:cs="Arial"/>
              </w:rPr>
              <w:t>Career track exercise</w:t>
            </w:r>
            <w:r w:rsidR="00F01FE0">
              <w:rPr>
                <w:rFonts w:cs="Arial"/>
              </w:rPr>
              <w:t xml:space="preserve"> </w:t>
            </w:r>
          </w:p>
        </w:tc>
        <w:tc>
          <w:tcPr>
            <w:tcW w:w="1121" w:type="dxa"/>
          </w:tcPr>
          <w:p w14:paraId="696FB53B" w14:textId="61BF9515" w:rsidR="00F55654" w:rsidRPr="00CE52A1" w:rsidRDefault="002B4161" w:rsidP="00C022B1">
            <w:pPr>
              <w:spacing w:after="0"/>
              <w:rPr>
                <w:rFonts w:cs="Arial"/>
              </w:rPr>
            </w:pPr>
            <w:r>
              <w:rPr>
                <w:rFonts w:cs="Arial"/>
              </w:rPr>
              <w:t>15</w:t>
            </w:r>
            <w:r w:rsidR="00F55654" w:rsidRPr="00CE52A1">
              <w:rPr>
                <w:rFonts w:cs="Arial"/>
              </w:rPr>
              <w:t>%</w:t>
            </w:r>
          </w:p>
        </w:tc>
      </w:tr>
      <w:tr w:rsidR="00F55654" w:rsidRPr="00845C9B" w14:paraId="72168BC8" w14:textId="77777777" w:rsidTr="00C022B1">
        <w:tc>
          <w:tcPr>
            <w:tcW w:w="1597" w:type="dxa"/>
          </w:tcPr>
          <w:p w14:paraId="77DC6A5B" w14:textId="7918713F" w:rsidR="00C022B1" w:rsidRPr="00CE52A1" w:rsidRDefault="00C022B1" w:rsidP="00C022B1">
            <w:pPr>
              <w:spacing w:after="0"/>
              <w:rPr>
                <w:rFonts w:cs="Arial"/>
              </w:rPr>
            </w:pPr>
            <w:r>
              <w:rPr>
                <w:rFonts w:cs="Arial"/>
              </w:rPr>
              <w:t>September 14; October 21; November 18</w:t>
            </w:r>
          </w:p>
        </w:tc>
        <w:tc>
          <w:tcPr>
            <w:tcW w:w="5310" w:type="dxa"/>
          </w:tcPr>
          <w:p w14:paraId="5DE91B5E" w14:textId="49E12B6E" w:rsidR="00F55654" w:rsidRPr="00CE52A1" w:rsidRDefault="00DD1724" w:rsidP="00C022B1">
            <w:pPr>
              <w:spacing w:after="0"/>
              <w:rPr>
                <w:rFonts w:cs="Arial"/>
              </w:rPr>
            </w:pPr>
            <w:r>
              <w:rPr>
                <w:rFonts w:cs="Arial"/>
              </w:rPr>
              <w:t>E</w:t>
            </w:r>
            <w:r w:rsidR="002B4161">
              <w:rPr>
                <w:rFonts w:cs="Arial"/>
              </w:rPr>
              <w:t>xam</w:t>
            </w:r>
            <w:r>
              <w:rPr>
                <w:rFonts w:cs="Arial"/>
              </w:rPr>
              <w:t>s (3)</w:t>
            </w:r>
          </w:p>
        </w:tc>
        <w:tc>
          <w:tcPr>
            <w:tcW w:w="1121" w:type="dxa"/>
          </w:tcPr>
          <w:p w14:paraId="52CBDE28" w14:textId="23BEAEE3" w:rsidR="00F55654" w:rsidRPr="00CE52A1" w:rsidRDefault="00DD1724" w:rsidP="00C022B1">
            <w:pPr>
              <w:spacing w:after="0"/>
              <w:rPr>
                <w:rFonts w:cs="Arial"/>
              </w:rPr>
            </w:pPr>
            <w:r>
              <w:rPr>
                <w:rFonts w:cs="Arial"/>
              </w:rPr>
              <w:t>30</w:t>
            </w:r>
            <w:r w:rsidR="00F55654" w:rsidRPr="00CE52A1">
              <w:rPr>
                <w:rFonts w:cs="Arial"/>
              </w:rPr>
              <w:t>%</w:t>
            </w:r>
          </w:p>
        </w:tc>
      </w:tr>
    </w:tbl>
    <w:p w14:paraId="5A2C201D" w14:textId="77777777" w:rsidR="008B668B" w:rsidRDefault="008B668B" w:rsidP="00F55654">
      <w:pPr>
        <w:spacing w:after="120"/>
        <w:rPr>
          <w:rFonts w:cs="Arial"/>
          <w:b/>
          <w:bCs/>
        </w:rPr>
      </w:pPr>
    </w:p>
    <w:p w14:paraId="78371715" w14:textId="2210921A" w:rsidR="00F55654" w:rsidRPr="00CE52A1" w:rsidRDefault="00F55654" w:rsidP="00F55654">
      <w:pPr>
        <w:spacing w:after="120"/>
        <w:rPr>
          <w:rFonts w:cs="Arial"/>
        </w:rPr>
      </w:pPr>
      <w:r w:rsidRPr="00CE52A1">
        <w:rPr>
          <w:rFonts w:cs="Arial"/>
          <w:b/>
          <w:bCs/>
        </w:rPr>
        <w:t>Participation (</w:t>
      </w:r>
      <w:r w:rsidR="00AF5309">
        <w:rPr>
          <w:rFonts w:cs="Arial"/>
          <w:b/>
          <w:bCs/>
        </w:rPr>
        <w:t>20</w:t>
      </w:r>
      <w:r w:rsidRPr="00CE52A1">
        <w:rPr>
          <w:rFonts w:cs="Arial"/>
          <w:b/>
          <w:bCs/>
        </w:rPr>
        <w:t>%):</w:t>
      </w:r>
      <w:r w:rsidRPr="00CE52A1">
        <w:rPr>
          <w:rFonts w:cs="Arial"/>
        </w:rPr>
        <w:t xml:space="preserve"> </w:t>
      </w:r>
      <w:r w:rsidR="005D600A" w:rsidRPr="005D600A">
        <w:rPr>
          <w:rFonts w:cs="Arial"/>
        </w:rPr>
        <w:t>The participation grade will be updated on a weekly basis to allow students to monitor their progress. </w:t>
      </w:r>
      <w:r w:rsidRPr="00CE52A1">
        <w:rPr>
          <w:rFonts w:cs="Arial"/>
        </w:rPr>
        <w:t>The participation grade includes:</w:t>
      </w:r>
      <w:r w:rsidR="00F01FE0">
        <w:rPr>
          <w:rFonts w:cs="Arial"/>
        </w:rPr>
        <w:t xml:space="preserve"> </w:t>
      </w:r>
    </w:p>
    <w:p w14:paraId="747D6EB2" w14:textId="77777777" w:rsidR="00F55654" w:rsidRPr="00CE52A1" w:rsidRDefault="00F55654" w:rsidP="00F55654">
      <w:pPr>
        <w:numPr>
          <w:ilvl w:val="0"/>
          <w:numId w:val="1"/>
        </w:numPr>
        <w:spacing w:after="120"/>
        <w:rPr>
          <w:rFonts w:cs="Arial"/>
          <w:bCs/>
        </w:rPr>
      </w:pPr>
      <w:r w:rsidRPr="00CE52A1">
        <w:rPr>
          <w:rFonts w:cs="Arial"/>
          <w:bCs/>
          <w:u w:val="single"/>
        </w:rPr>
        <w:t>Attendance (25 points)</w:t>
      </w:r>
      <w:r w:rsidRPr="00CE52A1">
        <w:rPr>
          <w:rFonts w:cs="Arial"/>
          <w:bCs/>
        </w:rPr>
        <w:t xml:space="preserve">: I expect the class to be almost exclusively discussion based, so attendance is mandatory. </w:t>
      </w:r>
    </w:p>
    <w:p w14:paraId="0B0C9C6D" w14:textId="77777777" w:rsidR="00F55654" w:rsidRPr="003835A5" w:rsidRDefault="00F55654" w:rsidP="00F55654">
      <w:pPr>
        <w:numPr>
          <w:ilvl w:val="0"/>
          <w:numId w:val="1"/>
        </w:numPr>
        <w:spacing w:after="120"/>
        <w:rPr>
          <w:rFonts w:cs="Arial"/>
          <w:bCs/>
        </w:rPr>
      </w:pPr>
      <w:r w:rsidRPr="003835A5">
        <w:rPr>
          <w:rFonts w:cs="Arial"/>
          <w:bCs/>
          <w:u w:val="single"/>
        </w:rPr>
        <w:t>Participation in class discussions (25 points)</w:t>
      </w:r>
      <w:r w:rsidRPr="003835A5">
        <w:rPr>
          <w:rFonts w:cs="Arial"/>
          <w:bCs/>
        </w:rPr>
        <w:t>: Preparation and participation are crucial to success in your university education. Read and analyze the assigned material before class, ask questions, and comment thoughtfully throughout the course.</w:t>
      </w:r>
    </w:p>
    <w:p w14:paraId="7DD9BB84" w14:textId="77777777" w:rsidR="00F55654" w:rsidRPr="00CE52A1" w:rsidRDefault="00F55654" w:rsidP="00F55654">
      <w:pPr>
        <w:numPr>
          <w:ilvl w:val="0"/>
          <w:numId w:val="1"/>
        </w:numPr>
        <w:spacing w:after="120"/>
        <w:rPr>
          <w:rFonts w:cs="Arial"/>
          <w:bCs/>
        </w:rPr>
      </w:pPr>
      <w:r w:rsidRPr="00CE52A1">
        <w:rPr>
          <w:rFonts w:cs="Arial"/>
          <w:u w:val="single"/>
        </w:rPr>
        <w:t>Responses to discussion questions (5 points per question; total 50 points)</w:t>
      </w:r>
      <w:r w:rsidRPr="00CE52A1">
        <w:rPr>
          <w:rFonts w:cs="Arial"/>
        </w:rPr>
        <w:t xml:space="preserve">: </w:t>
      </w:r>
      <w:r w:rsidRPr="00CE52A1">
        <w:rPr>
          <w:rFonts w:cs="Arial"/>
          <w:bCs/>
        </w:rPr>
        <w:t>Each student should answer the discussion questions before the beginning of the class (answers should not be longer than 250 words), post the answer on Canvas, and bring a hard copy to class.</w:t>
      </w:r>
    </w:p>
    <w:p w14:paraId="2C7D3A01" w14:textId="36DC1EDD" w:rsidR="00A96048" w:rsidRDefault="00A96048" w:rsidP="00F55654">
      <w:pPr>
        <w:spacing w:after="120"/>
        <w:rPr>
          <w:rFonts w:cstheme="minorHAnsi"/>
          <w:b/>
          <w:bCs/>
        </w:rPr>
      </w:pPr>
      <w:r w:rsidRPr="00A96048">
        <w:rPr>
          <w:rFonts w:cs="Arial"/>
          <w:b/>
          <w:bCs/>
        </w:rPr>
        <w:t xml:space="preserve">Philanthropic autobiography (5%): </w:t>
      </w:r>
      <w:r w:rsidRPr="00A96048">
        <w:rPr>
          <w:rFonts w:cs="Arial"/>
        </w:rPr>
        <w:t xml:space="preserve">The philanthropic autobiography should describe how you came to experience and learn about charitable giving and what motivates your philanthropy. This is more than a list of events or activities. Offer some sense of a pattern that has emerged from your philanthropic activities and reflection on the values that your actions have expressed. This paper will be approximately </w:t>
      </w:r>
      <w:r w:rsidRPr="00A96048">
        <w:rPr>
          <w:rFonts w:cstheme="minorHAnsi"/>
        </w:rPr>
        <w:t>2 pages long.</w:t>
      </w:r>
      <w:r w:rsidRPr="00A96048">
        <w:rPr>
          <w:rFonts w:cstheme="minorHAnsi"/>
          <w:b/>
          <w:bCs/>
        </w:rPr>
        <w:t xml:space="preserve"> </w:t>
      </w:r>
    </w:p>
    <w:p w14:paraId="2CAEBD03" w14:textId="74E0AF9E" w:rsidR="00204AA0" w:rsidRPr="00C022B1" w:rsidRDefault="00F01FE0" w:rsidP="00C022B1">
      <w:pPr>
        <w:spacing w:after="120"/>
        <w:rPr>
          <w:rFonts w:cstheme="minorHAnsi"/>
        </w:rPr>
      </w:pPr>
      <w:r>
        <w:rPr>
          <w:rFonts w:cstheme="minorHAnsi"/>
          <w:b/>
          <w:bCs/>
        </w:rPr>
        <w:t xml:space="preserve">Giving and sharing in public discourse (5%): </w:t>
      </w:r>
      <w:r w:rsidR="00204AA0" w:rsidRPr="00C022B1">
        <w:rPr>
          <w:rFonts w:cstheme="minorHAnsi"/>
        </w:rPr>
        <w:t xml:space="preserve">Students are required to identify a short video clip (such as a video clip or an excerpt from a film) that sheds light on issues involving philanthropy or nonprofit organizations. The video clip should be approximately 5 minutes. Students </w:t>
      </w:r>
      <w:r w:rsidR="00B11B67" w:rsidRPr="00C022B1">
        <w:rPr>
          <w:rFonts w:cstheme="minorHAnsi"/>
        </w:rPr>
        <w:t>must</w:t>
      </w:r>
      <w:r w:rsidR="00204AA0" w:rsidRPr="00C022B1">
        <w:rPr>
          <w:rFonts w:cstheme="minorHAnsi"/>
        </w:rPr>
        <w:t xml:space="preserve"> submit a one-page </w:t>
      </w:r>
      <w:r w:rsidR="00204AA0" w:rsidRPr="00C022B1">
        <w:rPr>
          <w:rFonts w:cstheme="minorHAnsi"/>
        </w:rPr>
        <w:lastRenderedPageBreak/>
        <w:t>report explaining how the video clip relates to philanthropy and nonprofit and present their video clip to the class.</w:t>
      </w:r>
    </w:p>
    <w:p w14:paraId="5F3B7824" w14:textId="0C64BF3A" w:rsidR="00A96048" w:rsidRPr="00A96048" w:rsidRDefault="00A96048" w:rsidP="00F55654">
      <w:pPr>
        <w:spacing w:after="120"/>
        <w:rPr>
          <w:rFonts w:cstheme="minorHAnsi"/>
          <w:b/>
          <w:bCs/>
        </w:rPr>
      </w:pPr>
      <w:r w:rsidRPr="00A96048">
        <w:rPr>
          <w:rFonts w:cstheme="minorHAnsi"/>
          <w:b/>
          <w:bCs/>
        </w:rPr>
        <w:t>Service learning (</w:t>
      </w:r>
      <w:r w:rsidR="00AF5309">
        <w:rPr>
          <w:rFonts w:cstheme="minorHAnsi"/>
          <w:b/>
          <w:bCs/>
        </w:rPr>
        <w:t>30</w:t>
      </w:r>
      <w:r w:rsidRPr="00A96048">
        <w:rPr>
          <w:rFonts w:cstheme="minorHAnsi"/>
          <w:b/>
          <w:bCs/>
        </w:rPr>
        <w:t>%)</w:t>
      </w:r>
      <w:r w:rsidR="00F01FE0">
        <w:rPr>
          <w:rFonts w:cstheme="minorHAnsi"/>
          <w:b/>
          <w:bCs/>
        </w:rPr>
        <w:t>:</w:t>
      </w:r>
      <w:r w:rsidR="00C022B1">
        <w:rPr>
          <w:rFonts w:cstheme="minorHAnsi"/>
          <w:b/>
          <w:bCs/>
        </w:rPr>
        <w:t xml:space="preserve"> </w:t>
      </w:r>
      <w:r w:rsidR="00C022B1" w:rsidRPr="00621D66">
        <w:rPr>
          <w:rFonts w:cstheme="minorHAnsi"/>
        </w:rPr>
        <w:t xml:space="preserve">Students are required to complete 10 hours of service </w:t>
      </w:r>
      <w:r w:rsidR="00621D66" w:rsidRPr="00621D66">
        <w:rPr>
          <w:rFonts w:cstheme="minorHAnsi"/>
        </w:rPr>
        <w:t>during the semester.</w:t>
      </w:r>
      <w:r w:rsidR="007F56B0">
        <w:rPr>
          <w:rFonts w:cstheme="minorHAnsi"/>
        </w:rPr>
        <w:t xml:space="preserve"> The organizations hosting the </w:t>
      </w:r>
      <w:proofErr w:type="gramStart"/>
      <w:r w:rsidR="007F56B0">
        <w:rPr>
          <w:rFonts w:cstheme="minorHAnsi"/>
        </w:rPr>
        <w:t>service learning</w:t>
      </w:r>
      <w:proofErr w:type="gramEnd"/>
      <w:r w:rsidR="007F56B0">
        <w:rPr>
          <w:rFonts w:cstheme="minorHAnsi"/>
        </w:rPr>
        <w:t xml:space="preserve"> opportunities may require masking and testing for COVID-19. </w:t>
      </w:r>
    </w:p>
    <w:p w14:paraId="7AFC4F18" w14:textId="0FDB1CEE" w:rsidR="00A96048" w:rsidRPr="001654B3" w:rsidRDefault="00A96048" w:rsidP="00A96048">
      <w:pPr>
        <w:pStyle w:val="ListParagraph"/>
        <w:numPr>
          <w:ilvl w:val="0"/>
          <w:numId w:val="13"/>
        </w:numPr>
        <w:spacing w:after="0" w:line="240" w:lineRule="auto"/>
        <w:rPr>
          <w:rFonts w:eastAsia="Times New Roman" w:cstheme="minorHAnsi"/>
          <w:sz w:val="24"/>
          <w:szCs w:val="24"/>
        </w:rPr>
      </w:pPr>
      <w:r w:rsidRPr="001654B3">
        <w:rPr>
          <w:rFonts w:eastAsia="Times New Roman" w:cstheme="minorHAnsi"/>
          <w:color w:val="000000"/>
          <w:u w:val="single"/>
        </w:rPr>
        <w:t>Service-Learning Journal #1</w:t>
      </w:r>
      <w:r w:rsidRPr="001654B3">
        <w:rPr>
          <w:rFonts w:eastAsia="Times New Roman" w:cstheme="minorHAnsi"/>
          <w:color w:val="000000"/>
        </w:rPr>
        <w:t>:</w:t>
      </w:r>
      <w:r w:rsidRPr="001654B3">
        <w:rPr>
          <w:rFonts w:eastAsia="Times New Roman" w:cstheme="minorHAnsi"/>
          <w:b/>
          <w:bCs/>
          <w:color w:val="000000"/>
        </w:rPr>
        <w:t xml:space="preserve"> </w:t>
      </w:r>
      <w:r w:rsidRPr="001654B3">
        <w:rPr>
          <w:rFonts w:eastAsia="Times New Roman" w:cstheme="minorHAnsi"/>
          <w:color w:val="000000"/>
        </w:rPr>
        <w:t xml:space="preserve">As part of the service-learning component of this course, students will volunteer at a local nonprofit organization and prepare a report that addresses the following questions. Service-Learning Record Sheet </w:t>
      </w:r>
      <w:r w:rsidRPr="001654B3">
        <w:rPr>
          <w:rFonts w:eastAsia="Times New Roman" w:cstheme="minorHAnsi"/>
          <w:color w:val="000000"/>
          <w:u w:val="single"/>
        </w:rPr>
        <w:t>must</w:t>
      </w:r>
      <w:r w:rsidRPr="001654B3">
        <w:rPr>
          <w:rFonts w:eastAsia="Times New Roman" w:cstheme="minorHAnsi"/>
          <w:color w:val="000000"/>
        </w:rPr>
        <w:t xml:space="preserve"> be attached to receive credit for this assignment. (Length 3-4 pages.)</w:t>
      </w:r>
    </w:p>
    <w:p w14:paraId="557B0FFC" w14:textId="77777777" w:rsidR="00A96048" w:rsidRPr="001654B3" w:rsidRDefault="00A96048" w:rsidP="00A96048">
      <w:pPr>
        <w:pStyle w:val="ListParagraph"/>
        <w:numPr>
          <w:ilvl w:val="1"/>
          <w:numId w:val="14"/>
        </w:numPr>
        <w:spacing w:after="0" w:line="240" w:lineRule="auto"/>
        <w:rPr>
          <w:rFonts w:eastAsia="Times New Roman" w:cstheme="minorHAnsi"/>
          <w:sz w:val="24"/>
          <w:szCs w:val="24"/>
        </w:rPr>
      </w:pPr>
      <w:r w:rsidRPr="001654B3">
        <w:rPr>
          <w:rFonts w:eastAsia="Times New Roman" w:cstheme="minorHAnsi"/>
          <w:color w:val="000000"/>
        </w:rPr>
        <w:t>What is the organization’s name? What is its mission statement? What are the programs and/or services it provides to the community?</w:t>
      </w:r>
    </w:p>
    <w:p w14:paraId="349B6EAB" w14:textId="77777777" w:rsidR="00A96048" w:rsidRPr="001654B3" w:rsidRDefault="00A96048" w:rsidP="00A96048">
      <w:pPr>
        <w:pStyle w:val="ListParagraph"/>
        <w:numPr>
          <w:ilvl w:val="1"/>
          <w:numId w:val="14"/>
        </w:numPr>
        <w:spacing w:after="0" w:line="240" w:lineRule="auto"/>
        <w:rPr>
          <w:rFonts w:eastAsia="Times New Roman" w:cstheme="minorHAnsi"/>
          <w:sz w:val="24"/>
          <w:szCs w:val="24"/>
        </w:rPr>
      </w:pPr>
      <w:r w:rsidRPr="001654B3">
        <w:rPr>
          <w:rFonts w:eastAsia="Times New Roman" w:cstheme="minorHAnsi"/>
          <w:color w:val="000000"/>
        </w:rPr>
        <w:t>Why did the student select the organization? What were the personal connections and interests in the organization’s work?</w:t>
      </w:r>
    </w:p>
    <w:p w14:paraId="22A7EA56" w14:textId="77777777" w:rsidR="00A96048" w:rsidRPr="001654B3" w:rsidRDefault="00A96048" w:rsidP="00A96048">
      <w:pPr>
        <w:pStyle w:val="ListParagraph"/>
        <w:numPr>
          <w:ilvl w:val="1"/>
          <w:numId w:val="14"/>
        </w:numPr>
        <w:spacing w:after="0" w:line="240" w:lineRule="auto"/>
        <w:rPr>
          <w:rFonts w:eastAsia="Times New Roman" w:cstheme="minorHAnsi"/>
          <w:sz w:val="24"/>
          <w:szCs w:val="24"/>
        </w:rPr>
      </w:pPr>
      <w:r w:rsidRPr="001654B3">
        <w:rPr>
          <w:rFonts w:eastAsia="Times New Roman" w:cstheme="minorHAnsi"/>
          <w:color w:val="000000"/>
        </w:rPr>
        <w:t>What were the purposes of the volunteer activity in which the student participated? Provide a description of the activity, the number of volunteers and their roles, the audience served, etc.</w:t>
      </w:r>
    </w:p>
    <w:p w14:paraId="0AEA190D" w14:textId="1F893C74" w:rsidR="00A96048" w:rsidRPr="001654B3" w:rsidRDefault="00A96048" w:rsidP="00A96048">
      <w:pPr>
        <w:pStyle w:val="ListParagraph"/>
        <w:numPr>
          <w:ilvl w:val="1"/>
          <w:numId w:val="14"/>
        </w:numPr>
        <w:spacing w:after="0" w:line="240" w:lineRule="auto"/>
        <w:rPr>
          <w:rFonts w:eastAsia="Times New Roman" w:cstheme="minorHAnsi"/>
          <w:sz w:val="24"/>
          <w:szCs w:val="24"/>
        </w:rPr>
      </w:pPr>
      <w:r w:rsidRPr="001654B3">
        <w:rPr>
          <w:rFonts w:eastAsia="Times New Roman" w:cstheme="minorHAnsi"/>
          <w:color w:val="000000"/>
        </w:rPr>
        <w:t>What functions does the organization perform? What are the issues in the community that are being addressed by the activity? Provide a detailed description of the trend or issue, its importance to the community, and the role of the organization in addressing it.</w:t>
      </w:r>
    </w:p>
    <w:p w14:paraId="6403B023" w14:textId="56CCBDB0" w:rsidR="00A96048" w:rsidRPr="001654B3" w:rsidRDefault="00A96048" w:rsidP="00A96048">
      <w:pPr>
        <w:pStyle w:val="ListParagraph"/>
        <w:numPr>
          <w:ilvl w:val="0"/>
          <w:numId w:val="13"/>
        </w:numPr>
        <w:spacing w:before="240" w:after="0" w:line="240" w:lineRule="auto"/>
        <w:rPr>
          <w:rFonts w:eastAsia="Times New Roman" w:cstheme="minorHAnsi"/>
          <w:sz w:val="24"/>
          <w:szCs w:val="24"/>
        </w:rPr>
      </w:pPr>
      <w:r w:rsidRPr="001654B3">
        <w:rPr>
          <w:rFonts w:eastAsia="Times New Roman" w:cstheme="minorHAnsi"/>
          <w:color w:val="000000"/>
          <w:u w:val="single"/>
        </w:rPr>
        <w:t>Service-Learning Journal #2:</w:t>
      </w:r>
      <w:r w:rsidRPr="001654B3">
        <w:rPr>
          <w:rFonts w:eastAsia="Times New Roman" w:cstheme="minorHAnsi"/>
          <w:b/>
          <w:bCs/>
          <w:color w:val="000000"/>
        </w:rPr>
        <w:t xml:space="preserve"> </w:t>
      </w:r>
      <w:r w:rsidRPr="001654B3">
        <w:rPr>
          <w:rFonts w:eastAsia="Times New Roman" w:cstheme="minorHAnsi"/>
          <w:color w:val="000000"/>
        </w:rPr>
        <w:t xml:space="preserve">Students must submit a final report on their service-learning activity. The report must include a discussion of the following point. Service-Learning Record Sheet </w:t>
      </w:r>
      <w:r w:rsidRPr="001654B3">
        <w:rPr>
          <w:rFonts w:eastAsia="Times New Roman" w:cstheme="minorHAnsi"/>
          <w:color w:val="000000"/>
          <w:u w:val="single"/>
        </w:rPr>
        <w:t>must</w:t>
      </w:r>
      <w:r w:rsidRPr="001654B3">
        <w:rPr>
          <w:rFonts w:eastAsia="Times New Roman" w:cstheme="minorHAnsi"/>
          <w:color w:val="000000"/>
        </w:rPr>
        <w:t xml:space="preserve"> be attached to receive credit for this assignment. (Length 3-4 pages.)</w:t>
      </w:r>
    </w:p>
    <w:p w14:paraId="27B8E486" w14:textId="77777777" w:rsidR="00A96048" w:rsidRPr="001654B3" w:rsidRDefault="00A96048" w:rsidP="00A96048">
      <w:pPr>
        <w:pStyle w:val="ListParagraph"/>
        <w:numPr>
          <w:ilvl w:val="1"/>
          <w:numId w:val="13"/>
        </w:numPr>
        <w:spacing w:before="240" w:after="0" w:line="240" w:lineRule="auto"/>
        <w:rPr>
          <w:rFonts w:eastAsia="Times New Roman" w:cstheme="minorHAnsi"/>
          <w:sz w:val="24"/>
          <w:szCs w:val="24"/>
        </w:rPr>
      </w:pPr>
      <w:r w:rsidRPr="001654B3">
        <w:rPr>
          <w:rFonts w:eastAsia="Times New Roman" w:cstheme="minorHAnsi"/>
          <w:color w:val="000000"/>
        </w:rPr>
        <w:t>Detailed account of the service provided.</w:t>
      </w:r>
    </w:p>
    <w:p w14:paraId="79777803" w14:textId="77777777" w:rsidR="00A96048" w:rsidRPr="001654B3" w:rsidRDefault="00A96048" w:rsidP="00A96048">
      <w:pPr>
        <w:pStyle w:val="ListParagraph"/>
        <w:numPr>
          <w:ilvl w:val="1"/>
          <w:numId w:val="13"/>
        </w:numPr>
        <w:spacing w:before="240" w:after="0" w:line="240" w:lineRule="auto"/>
        <w:rPr>
          <w:rFonts w:eastAsia="Times New Roman" w:cstheme="minorHAnsi"/>
          <w:sz w:val="24"/>
          <w:szCs w:val="24"/>
        </w:rPr>
      </w:pPr>
      <w:r w:rsidRPr="001654B3">
        <w:rPr>
          <w:rFonts w:eastAsia="Times New Roman" w:cstheme="minorHAnsi"/>
          <w:color w:val="000000"/>
        </w:rPr>
        <w:t>Description of the ways the service met the organization’s mission and the impact of the service on the community.</w:t>
      </w:r>
    </w:p>
    <w:p w14:paraId="7A73CAAC" w14:textId="35664AB3" w:rsidR="00A96048" w:rsidRPr="001654B3" w:rsidRDefault="00A96048" w:rsidP="00A96048">
      <w:pPr>
        <w:pStyle w:val="ListParagraph"/>
        <w:numPr>
          <w:ilvl w:val="1"/>
          <w:numId w:val="13"/>
        </w:numPr>
        <w:spacing w:before="240" w:after="0" w:line="240" w:lineRule="auto"/>
        <w:rPr>
          <w:rFonts w:eastAsia="Times New Roman" w:cstheme="minorHAnsi"/>
          <w:sz w:val="24"/>
          <w:szCs w:val="24"/>
        </w:rPr>
      </w:pPr>
      <w:r w:rsidRPr="001654B3">
        <w:rPr>
          <w:rFonts w:eastAsia="Times New Roman" w:cstheme="minorHAnsi"/>
          <w:color w:val="000000"/>
        </w:rPr>
        <w:t xml:space="preserve">Personal reflections about the service experience. </w:t>
      </w:r>
    </w:p>
    <w:p w14:paraId="304C8DD2" w14:textId="77777777" w:rsidR="00A96048" w:rsidRPr="00A96048" w:rsidRDefault="00A96048" w:rsidP="00A96048">
      <w:pPr>
        <w:pStyle w:val="ListParagraph"/>
        <w:spacing w:before="240" w:after="0" w:line="240" w:lineRule="auto"/>
        <w:ind w:left="1620"/>
        <w:rPr>
          <w:rFonts w:eastAsia="Times New Roman" w:cstheme="minorHAnsi"/>
          <w:sz w:val="24"/>
          <w:szCs w:val="24"/>
        </w:rPr>
      </w:pPr>
    </w:p>
    <w:p w14:paraId="3A1C5C9E" w14:textId="77777777" w:rsidR="00DD1724" w:rsidRDefault="00AF5309" w:rsidP="00DD1724">
      <w:pPr>
        <w:spacing w:after="120"/>
        <w:rPr>
          <w:rFonts w:cs="Arial"/>
          <w:b/>
          <w:bCs/>
        </w:rPr>
      </w:pPr>
      <w:bookmarkStart w:id="1" w:name="_Hlk27491099"/>
      <w:r>
        <w:rPr>
          <w:rFonts w:cs="Arial"/>
          <w:b/>
          <w:bCs/>
        </w:rPr>
        <w:t>Exams</w:t>
      </w:r>
      <w:r w:rsidR="00187646" w:rsidRPr="00187646">
        <w:rPr>
          <w:rFonts w:cs="Arial"/>
          <w:b/>
          <w:bCs/>
        </w:rPr>
        <w:t xml:space="preserve"> </w:t>
      </w:r>
      <w:r w:rsidR="00187646" w:rsidRPr="00C516DD">
        <w:rPr>
          <w:rFonts w:cs="Arial"/>
          <w:b/>
          <w:bCs/>
        </w:rPr>
        <w:t>(</w:t>
      </w:r>
      <w:r>
        <w:rPr>
          <w:rFonts w:cs="Arial"/>
          <w:b/>
          <w:bCs/>
        </w:rPr>
        <w:t>30</w:t>
      </w:r>
      <w:r w:rsidR="00187646" w:rsidRPr="00C516DD">
        <w:rPr>
          <w:rFonts w:cs="Arial"/>
          <w:b/>
          <w:bCs/>
        </w:rPr>
        <w:t>%):</w:t>
      </w:r>
      <w:r w:rsidR="00187646" w:rsidRPr="00C516DD">
        <w:rPr>
          <w:rFonts w:cs="Arial"/>
        </w:rPr>
        <w:t xml:space="preserve"> </w:t>
      </w:r>
      <w:r w:rsidR="0075451C">
        <w:rPr>
          <w:rFonts w:cs="Arial"/>
        </w:rPr>
        <w:t>Three exams</w:t>
      </w:r>
      <w:r w:rsidR="0075451C" w:rsidRPr="0075451C">
        <w:rPr>
          <w:rFonts w:cs="Arial"/>
        </w:rPr>
        <w:t xml:space="preserve"> will be assigned throughout the semester to check understanding of key concepts. </w:t>
      </w:r>
      <w:r w:rsidR="003B20AF">
        <w:rPr>
          <w:rFonts w:cs="Arial"/>
        </w:rPr>
        <w:t xml:space="preserve">The exams </w:t>
      </w:r>
      <w:r w:rsidR="003B20AF" w:rsidRPr="003B20AF">
        <w:rPr>
          <w:rFonts w:cs="Arial"/>
        </w:rPr>
        <w:t>cover lecture material</w:t>
      </w:r>
      <w:r w:rsidR="003B20AF">
        <w:rPr>
          <w:rFonts w:cs="Arial"/>
        </w:rPr>
        <w:t>, course readings, and videos</w:t>
      </w:r>
      <w:r w:rsidR="003B20AF" w:rsidRPr="003B20AF">
        <w:rPr>
          <w:rFonts w:cs="Arial"/>
        </w:rPr>
        <w:t xml:space="preserve">. Each </w:t>
      </w:r>
      <w:r w:rsidR="003B20AF">
        <w:rPr>
          <w:rFonts w:cs="Arial"/>
        </w:rPr>
        <w:t>exam</w:t>
      </w:r>
      <w:r w:rsidR="003B20AF" w:rsidRPr="003B20AF">
        <w:rPr>
          <w:rFonts w:cs="Arial"/>
        </w:rPr>
        <w:t xml:space="preserve"> </w:t>
      </w:r>
      <w:r w:rsidR="003B20AF">
        <w:rPr>
          <w:rFonts w:cs="Arial"/>
        </w:rPr>
        <w:t>contributes</w:t>
      </w:r>
      <w:r w:rsidR="003B20AF" w:rsidRPr="003B20AF">
        <w:rPr>
          <w:rFonts w:cs="Arial"/>
        </w:rPr>
        <w:t xml:space="preserve"> </w:t>
      </w:r>
      <w:r w:rsidR="003B20AF">
        <w:rPr>
          <w:rFonts w:cs="Arial"/>
        </w:rPr>
        <w:t>1</w:t>
      </w:r>
      <w:r w:rsidR="0075451C">
        <w:rPr>
          <w:rFonts w:cs="Arial"/>
        </w:rPr>
        <w:t>0</w:t>
      </w:r>
      <w:r w:rsidR="003B20AF">
        <w:rPr>
          <w:rFonts w:cs="Arial"/>
        </w:rPr>
        <w:t>% toward your final grade and will count 100 points (</w:t>
      </w:r>
      <w:r w:rsidR="003B20AF" w:rsidRPr="003B20AF">
        <w:rPr>
          <w:rFonts w:cs="Arial"/>
        </w:rPr>
        <w:t xml:space="preserve">50 points for individual answers and </w:t>
      </w:r>
      <w:r w:rsidR="003B20AF">
        <w:rPr>
          <w:rFonts w:cs="Arial"/>
        </w:rPr>
        <w:t>50</w:t>
      </w:r>
      <w:r w:rsidR="003B20AF" w:rsidRPr="003B20AF">
        <w:rPr>
          <w:rFonts w:cs="Arial"/>
        </w:rPr>
        <w:t xml:space="preserve"> points for group answers). Students will first complete </w:t>
      </w:r>
      <w:r w:rsidR="003B20AF">
        <w:rPr>
          <w:rFonts w:cs="Arial"/>
        </w:rPr>
        <w:t>the exam</w:t>
      </w:r>
      <w:r w:rsidR="003B20AF" w:rsidRPr="003B20AF">
        <w:rPr>
          <w:rFonts w:cs="Arial"/>
        </w:rPr>
        <w:t xml:space="preserve"> questions individually and then they will complete the same questions as a group.</w:t>
      </w:r>
      <w:r w:rsidR="00DD1724" w:rsidRPr="00DD1724">
        <w:rPr>
          <w:rFonts w:cs="Arial"/>
          <w:b/>
          <w:bCs/>
        </w:rPr>
        <w:t xml:space="preserve"> </w:t>
      </w:r>
    </w:p>
    <w:p w14:paraId="2D32D4B6" w14:textId="6E2DD5AE" w:rsidR="00A96048" w:rsidRPr="00C516DD" w:rsidRDefault="00DD1724" w:rsidP="00A96048">
      <w:pPr>
        <w:spacing w:after="120"/>
        <w:rPr>
          <w:rFonts w:cs="Arial"/>
        </w:rPr>
      </w:pPr>
      <w:r>
        <w:rPr>
          <w:rFonts w:cs="Arial"/>
          <w:b/>
          <w:bCs/>
        </w:rPr>
        <w:t>The career track project</w:t>
      </w:r>
      <w:r w:rsidRPr="00C516DD">
        <w:rPr>
          <w:rFonts w:cs="Arial"/>
          <w:b/>
          <w:bCs/>
        </w:rPr>
        <w:t xml:space="preserve"> (</w:t>
      </w:r>
      <w:r>
        <w:rPr>
          <w:rFonts w:cs="Arial"/>
          <w:b/>
          <w:bCs/>
        </w:rPr>
        <w:t>15</w:t>
      </w:r>
      <w:r w:rsidRPr="00C516DD">
        <w:rPr>
          <w:rFonts w:cs="Arial"/>
          <w:b/>
          <w:bCs/>
        </w:rPr>
        <w:t>%):</w:t>
      </w:r>
      <w:r w:rsidRPr="00C516DD">
        <w:rPr>
          <w:rFonts w:cs="Arial"/>
        </w:rPr>
        <w:t xml:space="preserve"> </w:t>
      </w:r>
      <w:r w:rsidR="00DD4FC5">
        <w:rPr>
          <w:rFonts w:cs="Arial"/>
        </w:rPr>
        <w:t xml:space="preserve">The exercise invites you explore career opportunities in the nonprofit sector, or more broadly careers with a positive public impact. Students are required to review job postings and identify through a process of </w:t>
      </w:r>
      <w:r w:rsidR="00DD4FC5" w:rsidRPr="00DD4FC5">
        <w:rPr>
          <w:rFonts w:cs="Arial"/>
        </w:rPr>
        <w:t>brainstorming, analyzing, and synthesizing</w:t>
      </w:r>
      <w:r w:rsidR="00DD4FC5">
        <w:rPr>
          <w:rFonts w:cs="Arial"/>
        </w:rPr>
        <w:t xml:space="preserve"> at least two career tracks.  </w:t>
      </w:r>
    </w:p>
    <w:bookmarkEnd w:id="1"/>
    <w:p w14:paraId="676F263A" w14:textId="77777777" w:rsidR="00F55654" w:rsidRPr="00C516DD" w:rsidRDefault="00F55654" w:rsidP="00F55654">
      <w:pPr>
        <w:spacing w:after="120"/>
        <w:rPr>
          <w:rFonts w:cs="Arial"/>
        </w:rPr>
      </w:pPr>
      <w:r w:rsidRPr="00C516DD">
        <w:rPr>
          <w:rStyle w:val="Heading2Char"/>
        </w:rPr>
        <w:t>Grading and Evaluation Procedures</w:t>
      </w:r>
      <w:r w:rsidRPr="00C516DD">
        <w:rPr>
          <w:rFonts w:cs="Arial"/>
        </w:rPr>
        <w:t>:</w:t>
      </w:r>
    </w:p>
    <w:p w14:paraId="2E1A795B" w14:textId="77777777" w:rsidR="00F55654" w:rsidRPr="00C516DD" w:rsidRDefault="00F55654" w:rsidP="00F55654">
      <w:pPr>
        <w:spacing w:after="120"/>
        <w:rPr>
          <w:rFonts w:cs="Arial"/>
          <w:bCs/>
        </w:rPr>
      </w:pPr>
      <w:r w:rsidRPr="00C516DD">
        <w:rPr>
          <w:rFonts w:cs="Arial"/>
          <w:bCs/>
          <w:u w:val="single"/>
        </w:rPr>
        <w:t>Writing expectations</w:t>
      </w:r>
      <w:r w:rsidRPr="00C516DD">
        <w:rPr>
          <w:rFonts w:cs="Arial"/>
          <w:bCs/>
        </w:rPr>
        <w:t xml:space="preserve">: In all assignments, the grading process will consider writing quality. Grammatical and punctuation errors, as well as repeated typos will significantly lower the grade. Particularly in small nonprofit organizations, all staff members are responsible for a great deal of writing. Grammatical or punctuation errors raise red flags as they suggest that the writer either has poor attention to detail or did not take the time to edit. </w:t>
      </w:r>
    </w:p>
    <w:p w14:paraId="48AE5C51" w14:textId="77777777" w:rsidR="00F55654" w:rsidRPr="00C516DD" w:rsidRDefault="00F55654" w:rsidP="00F55654">
      <w:pPr>
        <w:spacing w:after="120"/>
        <w:rPr>
          <w:rFonts w:cs="Arial"/>
          <w:bCs/>
        </w:rPr>
      </w:pPr>
      <w:r w:rsidRPr="00C516DD">
        <w:rPr>
          <w:rFonts w:cs="Arial"/>
          <w:bCs/>
          <w:u w:val="single"/>
        </w:rPr>
        <w:lastRenderedPageBreak/>
        <w:t>Deadlines</w:t>
      </w:r>
      <w:r w:rsidRPr="00C516DD">
        <w:rPr>
          <w:rFonts w:cs="Arial"/>
          <w:bCs/>
        </w:rPr>
        <w:t xml:space="preserve">: Assignments must be posted on Canvas by the deadline. Extensions without grade penalty will be considered on a case-by-case basis and only under extraordinary circumstances (any excuse for a late or missing assignment/exam must be documented). No assignment will be accepted after five days from the due date – in the case of excused absence(s), see policies on excused absences and make up policies on p. 6. </w:t>
      </w:r>
    </w:p>
    <w:p w14:paraId="64187B78" w14:textId="77777777" w:rsidR="00F55654" w:rsidRPr="00C516DD" w:rsidRDefault="00F55654" w:rsidP="00F55654">
      <w:pPr>
        <w:spacing w:after="120"/>
        <w:rPr>
          <w:rFonts w:cs="Arial"/>
        </w:rPr>
      </w:pPr>
    </w:p>
    <w:tbl>
      <w:tblPr>
        <w:tblStyle w:val="TableGrid"/>
        <w:tblW w:w="0" w:type="auto"/>
        <w:tblInd w:w="540" w:type="dxa"/>
        <w:tblLook w:val="04A0" w:firstRow="1" w:lastRow="0" w:firstColumn="1" w:lastColumn="0" w:noHBand="0" w:noVBand="1"/>
      </w:tblPr>
      <w:tblGrid>
        <w:gridCol w:w="1516"/>
        <w:gridCol w:w="2122"/>
        <w:gridCol w:w="5172"/>
      </w:tblGrid>
      <w:tr w:rsidR="00F55654" w:rsidRPr="00C516DD" w14:paraId="7D48EAB1" w14:textId="77777777" w:rsidTr="005D6251">
        <w:tc>
          <w:tcPr>
            <w:tcW w:w="9036" w:type="dxa"/>
            <w:gridSpan w:val="3"/>
            <w:shd w:val="clear" w:color="auto" w:fill="BFBFBF" w:themeFill="background1" w:themeFillShade="BF"/>
          </w:tcPr>
          <w:p w14:paraId="1A45A7F4" w14:textId="77777777" w:rsidR="00F55654" w:rsidRPr="00C516DD" w:rsidRDefault="00F55654" w:rsidP="005D6251">
            <w:pPr>
              <w:rPr>
                <w:rFonts w:cs="Arial"/>
                <w:b/>
                <w:bCs/>
              </w:rPr>
            </w:pPr>
            <w:r w:rsidRPr="00C516DD">
              <w:rPr>
                <w:rFonts w:cs="Arial"/>
                <w:b/>
                <w:bCs/>
              </w:rPr>
              <w:t>Grading Scale</w:t>
            </w:r>
          </w:p>
        </w:tc>
      </w:tr>
      <w:tr w:rsidR="00F55654" w:rsidRPr="00C516DD" w14:paraId="6B0C3F2E" w14:textId="77777777" w:rsidTr="005D6251">
        <w:tc>
          <w:tcPr>
            <w:tcW w:w="1548" w:type="dxa"/>
            <w:shd w:val="clear" w:color="auto" w:fill="BFBFBF" w:themeFill="background1" w:themeFillShade="BF"/>
          </w:tcPr>
          <w:p w14:paraId="71608B33" w14:textId="77777777" w:rsidR="00F55654" w:rsidRPr="00C516DD" w:rsidRDefault="00F55654" w:rsidP="005D6251">
            <w:pPr>
              <w:rPr>
                <w:rFonts w:cs="Arial"/>
                <w:b/>
              </w:rPr>
            </w:pPr>
            <w:r w:rsidRPr="00C516DD">
              <w:rPr>
                <w:rFonts w:cs="Arial"/>
                <w:b/>
              </w:rPr>
              <w:t>Letter grade</w:t>
            </w:r>
          </w:p>
        </w:tc>
        <w:tc>
          <w:tcPr>
            <w:tcW w:w="2160" w:type="dxa"/>
            <w:shd w:val="clear" w:color="auto" w:fill="BFBFBF" w:themeFill="background1" w:themeFillShade="BF"/>
          </w:tcPr>
          <w:p w14:paraId="1FC909F5" w14:textId="77777777" w:rsidR="00F55654" w:rsidRPr="00C516DD" w:rsidRDefault="00F55654" w:rsidP="005D6251">
            <w:pPr>
              <w:rPr>
                <w:rFonts w:cs="Arial"/>
                <w:b/>
              </w:rPr>
            </w:pPr>
            <w:r w:rsidRPr="00C516DD">
              <w:rPr>
                <w:rFonts w:cs="Arial"/>
                <w:b/>
              </w:rPr>
              <w:t>Percentage points</w:t>
            </w:r>
          </w:p>
        </w:tc>
        <w:tc>
          <w:tcPr>
            <w:tcW w:w="5328" w:type="dxa"/>
            <w:shd w:val="clear" w:color="auto" w:fill="BFBFBF" w:themeFill="background1" w:themeFillShade="BF"/>
          </w:tcPr>
          <w:p w14:paraId="7E8FBB2A" w14:textId="77777777" w:rsidR="00F55654" w:rsidRPr="00C516DD" w:rsidRDefault="00F55654" w:rsidP="005D6251">
            <w:pPr>
              <w:rPr>
                <w:rFonts w:cs="Arial"/>
                <w:b/>
              </w:rPr>
            </w:pPr>
            <w:r w:rsidRPr="00C516DD">
              <w:rPr>
                <w:rFonts w:cs="Arial"/>
                <w:b/>
              </w:rPr>
              <w:t>Definition</w:t>
            </w:r>
          </w:p>
        </w:tc>
      </w:tr>
      <w:tr w:rsidR="00F55654" w:rsidRPr="00C516DD" w14:paraId="21098DBB" w14:textId="77777777" w:rsidTr="005D6251">
        <w:tc>
          <w:tcPr>
            <w:tcW w:w="1548" w:type="dxa"/>
            <w:vAlign w:val="center"/>
          </w:tcPr>
          <w:p w14:paraId="4FE0AA8A" w14:textId="77777777" w:rsidR="00F55654" w:rsidRPr="00C516DD" w:rsidRDefault="00F55654" w:rsidP="005D6251">
            <w:pPr>
              <w:rPr>
                <w:rFonts w:cs="Arial"/>
              </w:rPr>
            </w:pPr>
            <w:r w:rsidRPr="00C516DD">
              <w:rPr>
                <w:rFonts w:cs="Arial"/>
              </w:rPr>
              <w:t>A</w:t>
            </w:r>
          </w:p>
        </w:tc>
        <w:tc>
          <w:tcPr>
            <w:tcW w:w="2160" w:type="dxa"/>
            <w:vAlign w:val="center"/>
          </w:tcPr>
          <w:p w14:paraId="78FB6072" w14:textId="77777777" w:rsidR="00F55654" w:rsidRPr="00C516DD" w:rsidRDefault="00F55654" w:rsidP="005D6251">
            <w:pPr>
              <w:rPr>
                <w:rFonts w:cs="Arial"/>
              </w:rPr>
            </w:pPr>
            <w:r w:rsidRPr="00C516DD">
              <w:rPr>
                <w:rFonts w:cs="Arial"/>
              </w:rPr>
              <w:t>90-100%</w:t>
            </w:r>
          </w:p>
        </w:tc>
        <w:tc>
          <w:tcPr>
            <w:tcW w:w="5328" w:type="dxa"/>
          </w:tcPr>
          <w:p w14:paraId="5EB00054" w14:textId="77777777" w:rsidR="00F55654" w:rsidRPr="00C516DD" w:rsidRDefault="00F55654" w:rsidP="005D6251">
            <w:pPr>
              <w:rPr>
                <w:rFonts w:cs="Arial"/>
              </w:rPr>
            </w:pPr>
            <w:r w:rsidRPr="00C516DD">
              <w:rPr>
                <w:rFonts w:cs="Arial"/>
              </w:rPr>
              <w:t>Exceptionally high quality: master of course content at the highest level of attainment</w:t>
            </w:r>
          </w:p>
        </w:tc>
      </w:tr>
      <w:tr w:rsidR="00F55654" w:rsidRPr="00C516DD" w14:paraId="4C676EA3" w14:textId="77777777" w:rsidTr="005D6251">
        <w:tc>
          <w:tcPr>
            <w:tcW w:w="1548" w:type="dxa"/>
            <w:vAlign w:val="center"/>
          </w:tcPr>
          <w:p w14:paraId="068EF20A" w14:textId="77777777" w:rsidR="00F55654" w:rsidRPr="00C516DD" w:rsidRDefault="00F55654" w:rsidP="005D6251">
            <w:pPr>
              <w:rPr>
                <w:rFonts w:cs="Arial"/>
              </w:rPr>
            </w:pPr>
            <w:r w:rsidRPr="00C516DD">
              <w:rPr>
                <w:rFonts w:cs="Arial"/>
              </w:rPr>
              <w:t>B</w:t>
            </w:r>
          </w:p>
        </w:tc>
        <w:tc>
          <w:tcPr>
            <w:tcW w:w="2160" w:type="dxa"/>
            <w:vAlign w:val="center"/>
          </w:tcPr>
          <w:p w14:paraId="34E81877" w14:textId="77777777" w:rsidR="00F55654" w:rsidRPr="00C516DD" w:rsidRDefault="00F55654" w:rsidP="005D6251">
            <w:pPr>
              <w:rPr>
                <w:rFonts w:cs="Arial"/>
              </w:rPr>
            </w:pPr>
            <w:r w:rsidRPr="00C516DD">
              <w:rPr>
                <w:rFonts w:cs="Arial"/>
              </w:rPr>
              <w:t>80-89%</w:t>
            </w:r>
          </w:p>
        </w:tc>
        <w:tc>
          <w:tcPr>
            <w:tcW w:w="5328" w:type="dxa"/>
          </w:tcPr>
          <w:p w14:paraId="46FF54DD" w14:textId="77777777" w:rsidR="00F55654" w:rsidRPr="00C516DD" w:rsidRDefault="00F55654" w:rsidP="005D6251">
            <w:pPr>
              <w:rPr>
                <w:rFonts w:cs="Arial"/>
              </w:rPr>
            </w:pPr>
            <w:r w:rsidRPr="00C516DD">
              <w:rPr>
                <w:rFonts w:cs="Arial"/>
              </w:rPr>
              <w:t>Good quality: strong performance demonstrating a high level of attainment</w:t>
            </w:r>
          </w:p>
        </w:tc>
      </w:tr>
      <w:tr w:rsidR="00F55654" w:rsidRPr="00C516DD" w14:paraId="0EAA1668" w14:textId="77777777" w:rsidTr="005D6251">
        <w:tc>
          <w:tcPr>
            <w:tcW w:w="1548" w:type="dxa"/>
            <w:vAlign w:val="center"/>
          </w:tcPr>
          <w:p w14:paraId="370C4094" w14:textId="77777777" w:rsidR="00F55654" w:rsidRPr="00C516DD" w:rsidRDefault="00F55654" w:rsidP="005D6251">
            <w:pPr>
              <w:rPr>
                <w:rFonts w:cs="Arial"/>
              </w:rPr>
            </w:pPr>
            <w:r w:rsidRPr="00C516DD">
              <w:rPr>
                <w:rFonts w:cs="Arial"/>
              </w:rPr>
              <w:t>C</w:t>
            </w:r>
          </w:p>
        </w:tc>
        <w:tc>
          <w:tcPr>
            <w:tcW w:w="2160" w:type="dxa"/>
            <w:vAlign w:val="center"/>
          </w:tcPr>
          <w:p w14:paraId="6C162DAD" w14:textId="77777777" w:rsidR="00F55654" w:rsidRPr="00C516DD" w:rsidRDefault="00F55654" w:rsidP="005D6251">
            <w:pPr>
              <w:rPr>
                <w:rFonts w:cs="Arial"/>
              </w:rPr>
            </w:pPr>
            <w:r w:rsidRPr="00C516DD">
              <w:rPr>
                <w:rFonts w:cs="Arial"/>
              </w:rPr>
              <w:t>70-79%</w:t>
            </w:r>
          </w:p>
        </w:tc>
        <w:tc>
          <w:tcPr>
            <w:tcW w:w="5328" w:type="dxa"/>
          </w:tcPr>
          <w:p w14:paraId="29E343BB" w14:textId="77777777" w:rsidR="00F55654" w:rsidRPr="00C516DD" w:rsidRDefault="00F55654" w:rsidP="005D6251">
            <w:pPr>
              <w:rPr>
                <w:rFonts w:cs="Arial"/>
              </w:rPr>
            </w:pPr>
            <w:r w:rsidRPr="00C516DD">
              <w:rPr>
                <w:rFonts w:cs="Arial"/>
              </w:rPr>
              <w:t>Satisfactory (average) quality: A totally acceptable performance demonstrating an adequate level of attainment for a student</w:t>
            </w:r>
          </w:p>
        </w:tc>
      </w:tr>
      <w:tr w:rsidR="00F55654" w:rsidRPr="00C516DD" w14:paraId="31A940F1" w14:textId="77777777" w:rsidTr="005D6251">
        <w:tc>
          <w:tcPr>
            <w:tcW w:w="1548" w:type="dxa"/>
            <w:vAlign w:val="center"/>
          </w:tcPr>
          <w:p w14:paraId="2E2A5379" w14:textId="77777777" w:rsidR="00F55654" w:rsidRPr="00C516DD" w:rsidRDefault="00F55654" w:rsidP="005D6251">
            <w:pPr>
              <w:rPr>
                <w:rFonts w:cs="Arial"/>
              </w:rPr>
            </w:pPr>
            <w:r w:rsidRPr="00C516DD">
              <w:rPr>
                <w:rFonts w:cs="Arial"/>
              </w:rPr>
              <w:t>D</w:t>
            </w:r>
          </w:p>
        </w:tc>
        <w:tc>
          <w:tcPr>
            <w:tcW w:w="2160" w:type="dxa"/>
            <w:vAlign w:val="center"/>
          </w:tcPr>
          <w:p w14:paraId="28D10B92" w14:textId="77777777" w:rsidR="00F55654" w:rsidRPr="00C516DD" w:rsidRDefault="00F55654" w:rsidP="005D6251">
            <w:pPr>
              <w:rPr>
                <w:rFonts w:cs="Arial"/>
              </w:rPr>
            </w:pPr>
            <w:r w:rsidRPr="00C516DD">
              <w:rPr>
                <w:rFonts w:cs="Arial"/>
              </w:rPr>
              <w:t>60-69%</w:t>
            </w:r>
          </w:p>
        </w:tc>
        <w:tc>
          <w:tcPr>
            <w:tcW w:w="5328" w:type="dxa"/>
          </w:tcPr>
          <w:p w14:paraId="76B5A5DF" w14:textId="77777777" w:rsidR="00F55654" w:rsidRPr="00C516DD" w:rsidRDefault="00F55654" w:rsidP="005D6251">
            <w:pPr>
              <w:rPr>
                <w:rFonts w:cs="Arial"/>
              </w:rPr>
            </w:pPr>
            <w:r w:rsidRPr="00C516DD">
              <w:rPr>
                <w:rFonts w:cs="Arial"/>
              </w:rPr>
              <w:t>Poor quality, but passing: A marginal performance demonstrating a minimal passing level of attainment</w:t>
            </w:r>
          </w:p>
        </w:tc>
      </w:tr>
      <w:tr w:rsidR="00F55654" w:rsidRPr="00C516DD" w14:paraId="30ACCE91" w14:textId="77777777" w:rsidTr="005D6251">
        <w:tc>
          <w:tcPr>
            <w:tcW w:w="1548" w:type="dxa"/>
            <w:vAlign w:val="center"/>
          </w:tcPr>
          <w:p w14:paraId="452D2ACD" w14:textId="77777777" w:rsidR="00F55654" w:rsidRPr="00C516DD" w:rsidRDefault="00F55654" w:rsidP="005D6251">
            <w:pPr>
              <w:rPr>
                <w:rFonts w:cs="Arial"/>
              </w:rPr>
            </w:pPr>
            <w:r w:rsidRPr="00C516DD">
              <w:rPr>
                <w:rFonts w:cs="Arial"/>
              </w:rPr>
              <w:t>E</w:t>
            </w:r>
          </w:p>
        </w:tc>
        <w:tc>
          <w:tcPr>
            <w:tcW w:w="2160" w:type="dxa"/>
            <w:vAlign w:val="center"/>
          </w:tcPr>
          <w:p w14:paraId="70CFDEB9" w14:textId="77777777" w:rsidR="00F55654" w:rsidRPr="00C516DD" w:rsidRDefault="00F55654" w:rsidP="005D6251">
            <w:pPr>
              <w:rPr>
                <w:rFonts w:cs="Arial"/>
              </w:rPr>
            </w:pPr>
            <w:r w:rsidRPr="00C516DD">
              <w:rPr>
                <w:rFonts w:cs="Arial"/>
              </w:rPr>
              <w:t>0-59%</w:t>
            </w:r>
          </w:p>
        </w:tc>
        <w:tc>
          <w:tcPr>
            <w:tcW w:w="5328" w:type="dxa"/>
          </w:tcPr>
          <w:p w14:paraId="71A060C1" w14:textId="77777777" w:rsidR="00F55654" w:rsidRPr="00C516DD" w:rsidRDefault="00F55654" w:rsidP="005D6251">
            <w:pPr>
              <w:rPr>
                <w:rFonts w:cs="Arial"/>
              </w:rPr>
            </w:pPr>
            <w:r w:rsidRPr="00C516DD">
              <w:rPr>
                <w:rFonts w:cs="Arial"/>
              </w:rPr>
              <w:t>Failure: almost no understanding of the course content</w:t>
            </w:r>
          </w:p>
        </w:tc>
      </w:tr>
    </w:tbl>
    <w:p w14:paraId="707D4D4A" w14:textId="77777777" w:rsidR="00F55654" w:rsidRPr="00C516DD" w:rsidRDefault="00F55654" w:rsidP="00F55654">
      <w:pPr>
        <w:spacing w:after="120"/>
        <w:rPr>
          <w:rFonts w:cs="Arial"/>
        </w:rPr>
      </w:pPr>
    </w:p>
    <w:p w14:paraId="120B0E11" w14:textId="00FFB97F" w:rsidR="00F55654" w:rsidRPr="00C516DD" w:rsidRDefault="000322B4" w:rsidP="00F55654">
      <w:pPr>
        <w:spacing w:after="120"/>
        <w:rPr>
          <w:rFonts w:cs="Arial"/>
          <w:u w:val="single"/>
        </w:rPr>
      </w:pPr>
      <w:r w:rsidRPr="00C516DD">
        <w:rPr>
          <w:rFonts w:cs="Arial"/>
          <w:u w:val="single"/>
        </w:rPr>
        <w:t>Withdrawal</w:t>
      </w:r>
      <w:r w:rsidR="00F55654" w:rsidRPr="00C516DD">
        <w:rPr>
          <w:rFonts w:cs="Arial"/>
          <w:u w:val="single"/>
        </w:rPr>
        <w:t xml:space="preserve"> policies: </w:t>
      </w:r>
    </w:p>
    <w:p w14:paraId="70B0F4B0" w14:textId="77777777" w:rsidR="001654B3" w:rsidRPr="00901B1A" w:rsidRDefault="001654B3" w:rsidP="001654B3">
      <w:pPr>
        <w:pStyle w:val="ListParagraph"/>
        <w:numPr>
          <w:ilvl w:val="0"/>
          <w:numId w:val="2"/>
        </w:numPr>
        <w:spacing w:after="120"/>
        <w:rPr>
          <w:rFonts w:cs="Arial"/>
        </w:rPr>
      </w:pPr>
      <w:r w:rsidRPr="00901B1A">
        <w:rPr>
          <w:rFonts w:cs="Arial"/>
        </w:rPr>
        <w:t>Students may withdraw with no grade assignment</w:t>
      </w:r>
      <w:r w:rsidRPr="00901B1A">
        <w:rPr>
          <w:rFonts w:cs="Arial"/>
          <w:i/>
          <w:iCs/>
        </w:rPr>
        <w:t xml:space="preserve"> </w:t>
      </w:r>
      <w:r w:rsidRPr="00901B1A">
        <w:rPr>
          <w:rFonts w:cs="Arial"/>
        </w:rPr>
        <w:t>until September 3</w:t>
      </w:r>
      <w:r w:rsidRPr="00901B1A">
        <w:rPr>
          <w:rFonts w:cs="Arial"/>
          <w:vertAlign w:val="superscript"/>
        </w:rPr>
        <w:t>rd</w:t>
      </w:r>
      <w:r w:rsidRPr="00901B1A">
        <w:rPr>
          <w:rFonts w:cs="Arial"/>
        </w:rPr>
        <w:t>; November 19</w:t>
      </w:r>
      <w:r w:rsidRPr="00901B1A">
        <w:rPr>
          <w:rFonts w:cs="Arial"/>
          <w:vertAlign w:val="superscript"/>
        </w:rPr>
        <w:t>th</w:t>
      </w:r>
      <w:r w:rsidRPr="00901B1A">
        <w:rPr>
          <w:rFonts w:cs="Arial"/>
        </w:rPr>
        <w:t xml:space="preserve"> is the last day to withdraw from a course with no grade penalty, although a W will appear on the student’s transcript if the student withdraws between September 3</w:t>
      </w:r>
      <w:r w:rsidRPr="00901B1A">
        <w:rPr>
          <w:rFonts w:cs="Arial"/>
          <w:vertAlign w:val="superscript"/>
        </w:rPr>
        <w:t>rd</w:t>
      </w:r>
      <w:r w:rsidRPr="00901B1A">
        <w:rPr>
          <w:rFonts w:cs="Arial"/>
        </w:rPr>
        <w:t xml:space="preserve"> and November 19</w:t>
      </w:r>
      <w:r w:rsidRPr="00901B1A">
        <w:rPr>
          <w:rFonts w:cs="Arial"/>
          <w:vertAlign w:val="superscript"/>
        </w:rPr>
        <w:t>th</w:t>
      </w:r>
      <w:r w:rsidRPr="00901B1A">
        <w:rPr>
          <w:rFonts w:cs="Arial"/>
        </w:rPr>
        <w:t>).</w:t>
      </w:r>
    </w:p>
    <w:p w14:paraId="4FA7EE43" w14:textId="77777777" w:rsidR="001654B3" w:rsidRPr="00901B1A" w:rsidRDefault="001654B3" w:rsidP="001654B3">
      <w:pPr>
        <w:pStyle w:val="ListParagraph"/>
        <w:numPr>
          <w:ilvl w:val="0"/>
          <w:numId w:val="2"/>
        </w:numPr>
        <w:spacing w:after="120"/>
        <w:rPr>
          <w:rFonts w:cs="Arial"/>
        </w:rPr>
      </w:pPr>
      <w:r w:rsidRPr="00901B1A">
        <w:rPr>
          <w:rFonts w:cs="Arial"/>
        </w:rPr>
        <w:t>Students who withdraw from the course between August 21</w:t>
      </w:r>
      <w:r w:rsidRPr="00901B1A">
        <w:rPr>
          <w:rFonts w:cs="Arial"/>
          <w:vertAlign w:val="superscript"/>
        </w:rPr>
        <w:t>st</w:t>
      </w:r>
      <w:r w:rsidRPr="00901B1A">
        <w:rPr>
          <w:rFonts w:cs="Arial"/>
        </w:rPr>
        <w:t xml:space="preserve"> and September 3</w:t>
      </w:r>
      <w:r w:rsidRPr="00901B1A">
        <w:rPr>
          <w:rFonts w:cs="Arial"/>
          <w:vertAlign w:val="superscript"/>
        </w:rPr>
        <w:t>rd</w:t>
      </w:r>
      <w:r w:rsidRPr="00901B1A">
        <w:rPr>
          <w:rFonts w:cs="Arial"/>
        </w:rPr>
        <w:t xml:space="preserve"> will pay a course drop fee of $100.</w:t>
      </w:r>
    </w:p>
    <w:p w14:paraId="47C1BD96" w14:textId="5082496C" w:rsidR="000322B4" w:rsidRPr="00AF5309" w:rsidRDefault="00F55654" w:rsidP="00AF5309">
      <w:pPr>
        <w:pStyle w:val="Heading2"/>
        <w:spacing w:after="120"/>
      </w:pPr>
      <w:r w:rsidRPr="00C516DD">
        <w:t>Class Materials</w:t>
      </w:r>
    </w:p>
    <w:p w14:paraId="1397D2C6" w14:textId="6D7BF70E" w:rsidR="00F55654" w:rsidRPr="00C516DD" w:rsidRDefault="00F55654" w:rsidP="00F55654">
      <w:pPr>
        <w:spacing w:after="120"/>
        <w:rPr>
          <w:rFonts w:cs="Arial"/>
          <w:iCs/>
        </w:rPr>
      </w:pPr>
      <w:r w:rsidRPr="00AA2245">
        <w:rPr>
          <w:rFonts w:cs="Arial"/>
          <w:iCs/>
        </w:rPr>
        <w:t>All readings not included in the textbook are available on Canvas.</w:t>
      </w:r>
    </w:p>
    <w:p w14:paraId="427DA01D" w14:textId="3B3BEF09" w:rsidR="00F55654" w:rsidRPr="00C516DD" w:rsidRDefault="00F55654" w:rsidP="00F55654">
      <w:pPr>
        <w:spacing w:after="120"/>
        <w:rPr>
          <w:rFonts w:cs="Arial"/>
        </w:rPr>
      </w:pPr>
      <w:r w:rsidRPr="00C516DD">
        <w:rPr>
          <w:rStyle w:val="Heading2Char"/>
        </w:rPr>
        <w:t>Canvas</w:t>
      </w:r>
      <w:r w:rsidRPr="00C516DD">
        <w:rPr>
          <w:rFonts w:cs="Arial"/>
        </w:rPr>
        <w:t xml:space="preserve">: All course information </w:t>
      </w:r>
      <w:r w:rsidR="00112594" w:rsidRPr="00C516DD">
        <w:rPr>
          <w:rFonts w:cs="Arial"/>
        </w:rPr>
        <w:t>is</w:t>
      </w:r>
      <w:r w:rsidRPr="00C516DD">
        <w:rPr>
          <w:rFonts w:cs="Arial"/>
        </w:rPr>
        <w:t xml:space="preserve"> on Canvas. Students should familiarize themselves with Canvas, as all assignments must be submitted via Canvas. Via Canvas, students have also access to all assignments, readings, and assignment guidelines/rubrics on Canvas, and will be able to monitor their academic progress as all grades will be regularly posted.</w:t>
      </w:r>
    </w:p>
    <w:p w14:paraId="68745C7D" w14:textId="77777777" w:rsidR="00F55654" w:rsidRPr="00C516DD" w:rsidRDefault="00F55654" w:rsidP="00F55654">
      <w:pPr>
        <w:shd w:val="clear" w:color="auto" w:fill="FFFFFF"/>
        <w:spacing w:after="120"/>
        <w:rPr>
          <w:rFonts w:ascii="Calibri" w:hAnsi="Calibri"/>
          <w:color w:val="212121"/>
        </w:rPr>
      </w:pPr>
      <w:r w:rsidRPr="00C516DD">
        <w:rPr>
          <w:rFonts w:ascii="Calibri" w:hAnsi="Calibri"/>
          <w:color w:val="212121"/>
        </w:rPr>
        <w:t xml:space="preserve">A student troubleshooting support page for Canvas is available here: </w:t>
      </w:r>
      <w:hyperlink r:id="rId6" w:history="1">
        <w:r w:rsidRPr="00C516DD">
          <w:rPr>
            <w:rStyle w:val="Hyperlink"/>
            <w:rFonts w:ascii="Calibri" w:hAnsi="Calibri"/>
            <w:color w:val="954F72"/>
          </w:rPr>
          <w:t>http://wp.auburn.edu/biggio/canvas/student-help/</w:t>
        </w:r>
      </w:hyperlink>
      <w:r w:rsidRPr="00C516DD">
        <w:rPr>
          <w:rFonts w:ascii="Calibri" w:hAnsi="Calibri"/>
          <w:color w:val="212121"/>
        </w:rPr>
        <w:t> </w:t>
      </w:r>
    </w:p>
    <w:p w14:paraId="530D0D16" w14:textId="77777777" w:rsidR="00F55654" w:rsidRPr="00C516DD" w:rsidRDefault="00F55654" w:rsidP="00F55654">
      <w:pPr>
        <w:shd w:val="clear" w:color="auto" w:fill="FFFFFF"/>
        <w:spacing w:after="120"/>
        <w:rPr>
          <w:rFonts w:ascii="Calibri" w:hAnsi="Calibri"/>
          <w:color w:val="212121"/>
        </w:rPr>
      </w:pPr>
      <w:r w:rsidRPr="00C516DD">
        <w:rPr>
          <w:rFonts w:ascii="Calibri" w:hAnsi="Calibri"/>
          <w:color w:val="212121"/>
        </w:rPr>
        <w:lastRenderedPageBreak/>
        <w:t>Technical support for students is available through the Help Desk.</w:t>
      </w:r>
    </w:p>
    <w:p w14:paraId="36BBF17D" w14:textId="77777777" w:rsidR="00F55654" w:rsidRPr="00C516DD" w:rsidRDefault="00F55654" w:rsidP="00F55654">
      <w:pPr>
        <w:pStyle w:val="Heading1"/>
        <w:spacing w:after="120"/>
      </w:pPr>
      <w:r w:rsidRPr="00C516DD">
        <w:t>Classroom Policies</w:t>
      </w:r>
    </w:p>
    <w:p w14:paraId="632C22D9" w14:textId="77777777" w:rsidR="00F55654" w:rsidRDefault="00F55654" w:rsidP="00F55654">
      <w:pPr>
        <w:pStyle w:val="Heading2"/>
        <w:spacing w:after="120"/>
      </w:pPr>
      <w:r w:rsidRPr="007F56B0">
        <w:t>COVID-19 policy</w:t>
      </w:r>
    </w:p>
    <w:p w14:paraId="66849EB8" w14:textId="61A57508" w:rsidR="00F55654" w:rsidRPr="007F56B0" w:rsidRDefault="007F56B0" w:rsidP="00F55654">
      <w:pPr>
        <w:rPr>
          <w:rFonts w:cstheme="minorHAnsi"/>
        </w:rPr>
      </w:pPr>
      <w:r w:rsidRPr="007F56B0">
        <w:rPr>
          <w:rFonts w:cstheme="minorHAnsi"/>
          <w:color w:val="464646"/>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7" w:tgtFrame="_blank" w:history="1">
        <w:r w:rsidRPr="007F56B0">
          <w:rPr>
            <w:rStyle w:val="Hyperlink"/>
            <w:rFonts w:cstheme="minorHAnsi"/>
            <w:shd w:val="clear" w:color="auto" w:fill="FFFFFF"/>
          </w:rPr>
          <w:t>Classroom Behavior Policy</w:t>
        </w:r>
        <w:r w:rsidRPr="007F56B0">
          <w:rPr>
            <w:rStyle w:val="screenreader-only"/>
            <w:rFonts w:cstheme="minorHAnsi"/>
            <w:color w:val="0000FF"/>
            <w:u w:val="single"/>
            <w:bdr w:val="none" w:sz="0" w:space="0" w:color="auto" w:frame="1"/>
            <w:shd w:val="clear" w:color="auto" w:fill="FFFFFF"/>
          </w:rPr>
          <w:t> (Links to an external site.)</w:t>
        </w:r>
      </w:hyperlink>
      <w:r w:rsidRPr="007F56B0">
        <w:rPr>
          <w:rFonts w:cstheme="minorHAnsi"/>
          <w:color w:val="464646"/>
          <w:shd w:val="clear" w:color="auto" w:fill="FFFFFF"/>
        </w:rPr>
        <w:t> for additional details.</w:t>
      </w:r>
    </w:p>
    <w:p w14:paraId="08C9EFFC" w14:textId="77777777" w:rsidR="00F55654" w:rsidRPr="00C516DD" w:rsidRDefault="00F55654" w:rsidP="00F55654">
      <w:pPr>
        <w:pStyle w:val="Heading2"/>
        <w:spacing w:after="120"/>
        <w:rPr>
          <w:rStyle w:val="Heading3Char"/>
        </w:rPr>
      </w:pPr>
      <w:r w:rsidRPr="00C516DD">
        <w:t>Policies on Class Attendance, Submission of Late Written Assignments, Missed In-</w:t>
      </w:r>
      <w:r w:rsidRPr="00C516DD">
        <w:br/>
        <w:t xml:space="preserve">Class Work and Missed Examinations: </w:t>
      </w:r>
    </w:p>
    <w:p w14:paraId="460842AE" w14:textId="77777777" w:rsidR="00F55654" w:rsidRPr="00C516DD" w:rsidRDefault="00F55654" w:rsidP="00F55654">
      <w:pPr>
        <w:autoSpaceDE w:val="0"/>
        <w:autoSpaceDN w:val="0"/>
        <w:adjustRightInd w:val="0"/>
        <w:spacing w:after="120"/>
        <w:rPr>
          <w:rStyle w:val="Heading3Char"/>
          <w:rFonts w:cs="Arial"/>
          <w:i/>
        </w:rPr>
      </w:pPr>
      <w:r w:rsidRPr="00C516DD">
        <w:rPr>
          <w:rStyle w:val="Heading3Char"/>
        </w:rPr>
        <w:t>Excused Absences:</w:t>
      </w:r>
      <w:r w:rsidRPr="00C516DD">
        <w:rPr>
          <w:rFonts w:cs="Arial"/>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C516DD">
        <w:rPr>
          <w:rFonts w:cs="Arial"/>
        </w:rPr>
        <w:t>University</w:t>
      </w:r>
      <w:proofErr w:type="gramEnd"/>
      <w:r w:rsidRPr="00C516DD">
        <w:rPr>
          <w:rFonts w:cs="Arial"/>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45F2E687" w14:textId="77777777" w:rsidR="00F55654" w:rsidRPr="00C516DD" w:rsidRDefault="00F55654" w:rsidP="00F55654">
      <w:pPr>
        <w:autoSpaceDE w:val="0"/>
        <w:autoSpaceDN w:val="0"/>
        <w:adjustRightInd w:val="0"/>
        <w:spacing w:after="120"/>
        <w:rPr>
          <w:rStyle w:val="Heading3Char"/>
          <w:rFonts w:cs="Arial"/>
        </w:rPr>
      </w:pPr>
      <w:r w:rsidRPr="00C516DD">
        <w:rPr>
          <w:rStyle w:val="Heading3Char"/>
        </w:rPr>
        <w:t>Make-Up Policy:</w:t>
      </w:r>
      <w:r w:rsidRPr="00C516DD">
        <w:rPr>
          <w:rFonts w:cs="Arial"/>
          <w:b/>
          <w:bCs/>
        </w:rPr>
        <w:t xml:space="preserve"> </w:t>
      </w:r>
      <w:r w:rsidRPr="00C516DD">
        <w:rPr>
          <w:rFonts w:cs="Arial"/>
          <w:bCs/>
        </w:rPr>
        <w:t xml:space="preserve">Except in unusual circumstances, such as continued absence of the student or the advent of </w:t>
      </w:r>
      <w:proofErr w:type="gramStart"/>
      <w:r w:rsidRPr="00C516DD">
        <w:rPr>
          <w:rFonts w:cs="Arial"/>
          <w:bCs/>
        </w:rPr>
        <w:t>University</w:t>
      </w:r>
      <w:proofErr w:type="gramEnd"/>
      <w:r w:rsidRPr="00C516DD">
        <w:rPr>
          <w:rFonts w:cs="Arial"/>
          <w:bCs/>
        </w:rPr>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mirror the regular exams. </w:t>
      </w:r>
    </w:p>
    <w:p w14:paraId="1282904E" w14:textId="77777777" w:rsidR="00F55654" w:rsidRPr="00C516DD" w:rsidRDefault="00F55654" w:rsidP="00F55654">
      <w:pPr>
        <w:spacing w:after="120"/>
        <w:rPr>
          <w:rStyle w:val="Heading3Char"/>
          <w:rFonts w:cs="Arial"/>
          <w:i/>
        </w:rPr>
      </w:pPr>
      <w:r w:rsidRPr="00C516DD">
        <w:rPr>
          <w:rStyle w:val="Heading3Char"/>
        </w:rPr>
        <w:t>Communication:</w:t>
      </w:r>
      <w:r w:rsidRPr="00C516DD">
        <w:rPr>
          <w:rFonts w:cs="Arial"/>
        </w:rPr>
        <w:t xml:space="preserve"> Students are responsible for checking class email, Canvas messages, and Canvas announcements. Course related material and information, including assignment information, change of schedules, field trip details, will be regularly shared via class email and canvas announcement.</w:t>
      </w:r>
    </w:p>
    <w:p w14:paraId="35E6A9D9" w14:textId="77777777" w:rsidR="00F55654" w:rsidRPr="00C516DD" w:rsidRDefault="00F55654" w:rsidP="00F55654">
      <w:pPr>
        <w:spacing w:after="120"/>
        <w:rPr>
          <w:rStyle w:val="Heading3Char"/>
          <w:rFonts w:cs="Arial"/>
          <w:i/>
        </w:rPr>
      </w:pPr>
      <w:r w:rsidRPr="00C516DD">
        <w:rPr>
          <w:rStyle w:val="Heading3Char"/>
        </w:rPr>
        <w:t>ADA Policy:</w:t>
      </w:r>
      <w:r w:rsidRPr="00C516DD">
        <w:rPr>
          <w:rFonts w:cs="Arial"/>
        </w:rPr>
        <w:t xml:space="preserve"> 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6D0EB56F" w14:textId="77777777" w:rsidR="00F55654" w:rsidRPr="00C516DD" w:rsidRDefault="00F55654" w:rsidP="00F55654">
      <w:pPr>
        <w:spacing w:after="120"/>
      </w:pPr>
      <w:r w:rsidRPr="00C516DD">
        <w:rPr>
          <w:rStyle w:val="Heading3Char"/>
        </w:rPr>
        <w:t>Academic Honesty:</w:t>
      </w:r>
      <w:r w:rsidRPr="00C516DD">
        <w:rPr>
          <w:rFonts w:cs="Arial"/>
        </w:rPr>
        <w:t xml:space="preserve"> All portions of the Auburn University Student Academic Honesty code (Title XII) found in the Student Policy </w:t>
      </w:r>
      <w:proofErr w:type="spellStart"/>
      <w:r w:rsidRPr="00C516DD">
        <w:rPr>
          <w:rFonts w:cs="Arial"/>
        </w:rPr>
        <w:t>eHandbook</w:t>
      </w:r>
      <w:proofErr w:type="spellEnd"/>
      <w:r w:rsidRPr="00C516DD">
        <w:rPr>
          <w:rFonts w:cs="Arial"/>
        </w:rPr>
        <w:t xml:space="preserve"> at </w:t>
      </w:r>
      <w:hyperlink r:id="rId8" w:history="1">
        <w:r w:rsidRPr="00C516DD">
          <w:rPr>
            <w:rStyle w:val="Hyperlink"/>
            <w:rFonts w:cs="Arial"/>
          </w:rPr>
          <w:t>http://www.auburn.edu/student_info/student_policies/</w:t>
        </w:r>
      </w:hyperlink>
      <w:r w:rsidRPr="00C516DD">
        <w:rPr>
          <w:rFonts w:cs="Arial"/>
        </w:rPr>
        <w:t xml:space="preserve"> will </w:t>
      </w:r>
      <w:r w:rsidRPr="00C516DD">
        <w:rPr>
          <w:rFonts w:cs="Arial"/>
        </w:rPr>
        <w:lastRenderedPageBreak/>
        <w:t>apply to this class. All academic honesty violations or alleged violations of the SGA Code of Laws will be reported to the Office of the Provost, which will then refer the case to the Academic Honesty Committee.</w:t>
      </w:r>
      <w:r w:rsidRPr="00C516DD">
        <w:t xml:space="preserve"> </w:t>
      </w:r>
    </w:p>
    <w:p w14:paraId="685347BA" w14:textId="77777777" w:rsidR="00F55654" w:rsidRPr="00C516DD" w:rsidRDefault="00F55654" w:rsidP="00F55654">
      <w:pPr>
        <w:spacing w:after="120"/>
        <w:rPr>
          <w:rFonts w:cs="Arial"/>
        </w:rPr>
      </w:pPr>
      <w:r w:rsidRPr="00C516DD">
        <w:rPr>
          <w:rFonts w:cs="Arial"/>
        </w:rPr>
        <w:t xml:space="preserve">A paper submitted for another class will not be accepted in this class will not be accepted in this class. </w:t>
      </w:r>
    </w:p>
    <w:p w14:paraId="5DF393B1" w14:textId="77777777" w:rsidR="00F55654" w:rsidRPr="00C516DD" w:rsidRDefault="00F55654" w:rsidP="00F55654">
      <w:pPr>
        <w:spacing w:after="120"/>
        <w:rPr>
          <w:rFonts w:cs="Arial"/>
        </w:rPr>
      </w:pPr>
      <w:r w:rsidRPr="00C516DD">
        <w:rPr>
          <w:rFonts w:cs="Arial"/>
        </w:rPr>
        <w:t xml:space="preserve">Using another student’s work as your own will be viewed as a dishonest act and that student will receive a zero for this course. </w:t>
      </w:r>
    </w:p>
    <w:p w14:paraId="6475E76F" w14:textId="77777777" w:rsidR="00F55654" w:rsidRPr="00C516DD" w:rsidRDefault="00F55654" w:rsidP="00F55654">
      <w:pPr>
        <w:spacing w:after="120"/>
        <w:rPr>
          <w:rFonts w:cs="Arial"/>
        </w:rPr>
      </w:pPr>
      <w:r w:rsidRPr="00C516DD">
        <w:rPr>
          <w:rFonts w:cs="Arial"/>
        </w:rPr>
        <w:t>Violations of the Student Academic Honesty Code include, but are not limited to:</w:t>
      </w:r>
    </w:p>
    <w:p w14:paraId="1A3C6A03" w14:textId="77777777" w:rsidR="00F55654" w:rsidRPr="00C516DD" w:rsidRDefault="00F55654" w:rsidP="00F55654">
      <w:pPr>
        <w:numPr>
          <w:ilvl w:val="0"/>
          <w:numId w:val="3"/>
        </w:numPr>
        <w:spacing w:after="120"/>
        <w:rPr>
          <w:rFonts w:cs="Arial"/>
        </w:rPr>
      </w:pPr>
      <w:r w:rsidRPr="00C516DD">
        <w:rPr>
          <w:rFonts w:cs="Arial"/>
        </w:rPr>
        <w:t>‘Cheating’ – the possession, receipt, or use of any material or assistance not authorized in the preparation of any project; and such actions conducted while an exam is in progress. Cell phones and other electronic devices cannot be used during exams.</w:t>
      </w:r>
    </w:p>
    <w:p w14:paraId="1ABBC305" w14:textId="77777777" w:rsidR="00F55654" w:rsidRPr="00C516DD" w:rsidRDefault="00F55654" w:rsidP="00F55654">
      <w:pPr>
        <w:numPr>
          <w:ilvl w:val="0"/>
          <w:numId w:val="3"/>
        </w:numPr>
        <w:spacing w:after="120"/>
        <w:rPr>
          <w:rFonts w:cs="Arial"/>
        </w:rPr>
      </w:pPr>
      <w:r w:rsidRPr="00C516DD">
        <w:rPr>
          <w:rFonts w:cs="Arial"/>
        </w:rPr>
        <w:t xml:space="preserve">‘Plagiarism’ – using the words or ideas of another as if they were one’s own. If another person’s complete sentence, syntax, key words, or the specific or unique ideas and information are used, one must give that person credit through proper documentation, as </w:t>
      </w:r>
      <w:proofErr w:type="gramStart"/>
      <w:r w:rsidRPr="00C516DD">
        <w:rPr>
          <w:rFonts w:cs="Arial"/>
        </w:rPr>
        <w:t>through the use of</w:t>
      </w:r>
      <w:proofErr w:type="gramEnd"/>
      <w:r w:rsidRPr="00C516DD">
        <w:rPr>
          <w:rFonts w:cs="Arial"/>
        </w:rPr>
        <w:t xml:space="preserve"> footnotes. On individual projects, even though you may discuss your work with others, you are graded based on what you turn in individually. Papers with identical wording, in any order, will be treated as plagiarism for ALL parties involved. </w:t>
      </w:r>
    </w:p>
    <w:p w14:paraId="303546B2" w14:textId="77777777" w:rsidR="00F55654" w:rsidRPr="00C516DD" w:rsidRDefault="00F55654" w:rsidP="00F55654">
      <w:pPr>
        <w:spacing w:after="120"/>
        <w:rPr>
          <w:rFonts w:cs="Arial"/>
          <w:i/>
        </w:rPr>
      </w:pPr>
      <w:r w:rsidRPr="00C516DD">
        <w:rPr>
          <w:rStyle w:val="Heading3Char"/>
        </w:rPr>
        <w:t>Classroom Behavior:</w:t>
      </w:r>
      <w:r w:rsidRPr="00C516DD">
        <w:rPr>
          <w:rFonts w:cs="Arial"/>
        </w:rPr>
        <w:t xml:space="preserve"> The Auburn University Classroom Behavior Policy is strictly followed in the course; please refer to the Student Policy </w:t>
      </w:r>
      <w:proofErr w:type="spellStart"/>
      <w:r w:rsidRPr="00C516DD">
        <w:rPr>
          <w:rFonts w:cs="Arial"/>
        </w:rPr>
        <w:t>eHandbook</w:t>
      </w:r>
      <w:proofErr w:type="spellEnd"/>
      <w:r w:rsidRPr="00C516DD">
        <w:rPr>
          <w:rFonts w:cs="Arial"/>
        </w:rPr>
        <w:t xml:space="preserve"> at </w:t>
      </w:r>
      <w:hyperlink r:id="rId9" w:history="1">
        <w:r w:rsidRPr="00C516DD">
          <w:rPr>
            <w:rStyle w:val="Hyperlink"/>
            <w:rFonts w:cs="Arial"/>
          </w:rPr>
          <w:t>http://www.auburn.edu/student_info/student_policies/</w:t>
        </w:r>
      </w:hyperlink>
      <w:r w:rsidRPr="00C516DD">
        <w:rPr>
          <w:rFonts w:cs="Arial"/>
        </w:rPr>
        <w:t xml:space="preserve"> for details of this policy.</w:t>
      </w:r>
    </w:p>
    <w:p w14:paraId="06E5F721" w14:textId="77777777" w:rsidR="00F55654" w:rsidRPr="00C516DD" w:rsidRDefault="00F55654" w:rsidP="00F55654">
      <w:pPr>
        <w:spacing w:after="120"/>
        <w:rPr>
          <w:rFonts w:cs="Arial"/>
          <w:i/>
        </w:rPr>
      </w:pPr>
      <w:r w:rsidRPr="00C516DD">
        <w:rPr>
          <w:rStyle w:val="Heading3Char"/>
        </w:rPr>
        <w:t>Emergency Contingency</w:t>
      </w:r>
      <w:r w:rsidRPr="00C516DD">
        <w:rPr>
          <w:rFonts w:cs="Arial"/>
        </w:rPr>
        <w:t xml:space="preserve">: If normal class and/or lab activities are disrupted due to illness, emergency, or </w:t>
      </w:r>
      <w:proofErr w:type="gramStart"/>
      <w:r w:rsidRPr="00C516DD">
        <w:rPr>
          <w:rFonts w:cs="Arial"/>
        </w:rPr>
        <w:t>crisis situation</w:t>
      </w:r>
      <w:proofErr w:type="gramEnd"/>
      <w:r w:rsidRPr="00C516DD">
        <w:rPr>
          <w:rFonts w:cs="Arial"/>
        </w:rPr>
        <w:t xml:space="preserve"> (such as an H1N1 flu outbreak), the syllabus and other course plans and assignments may be modified to allow completion of the course. If this occurs, an addendum to your syllabus and/or course assignments will replace the original materials.</w:t>
      </w:r>
    </w:p>
    <w:p w14:paraId="3F466602" w14:textId="77777777" w:rsidR="00F55654" w:rsidRPr="00C516DD" w:rsidRDefault="00F55654" w:rsidP="00F55654">
      <w:pPr>
        <w:pStyle w:val="Heading2"/>
        <w:spacing w:after="120"/>
      </w:pPr>
      <w:r w:rsidRPr="00C516DD">
        <w:t xml:space="preserve">Diversity Statement: </w:t>
      </w:r>
    </w:p>
    <w:p w14:paraId="0AC43D56" w14:textId="77777777" w:rsidR="00F55654" w:rsidRPr="00C516DD" w:rsidRDefault="00F55654" w:rsidP="00915316">
      <w:r w:rsidRPr="00C516DD">
        <w:t xml:space="preserve">Diversity at Auburn University encompasses the whole of human experience and includes such human qualities as race, gender, ethnicity, physical ability, nationality, age religion, sexual orientation, economic status, and veteran status. These and other socially and historically important attributes reflect the complexity of our increasingly diverse student body, local community, and national population. </w:t>
      </w:r>
    </w:p>
    <w:p w14:paraId="2571C138" w14:textId="77777777" w:rsidR="00F55654" w:rsidRPr="00C516DD" w:rsidRDefault="00F55654" w:rsidP="00F55654">
      <w:pPr>
        <w:spacing w:after="120"/>
        <w:rPr>
          <w:rFonts w:cs="Arial"/>
        </w:rPr>
      </w:pPr>
      <w:r w:rsidRPr="00C516DD">
        <w:rPr>
          <w:rFonts w:cs="Arial"/>
        </w:rPr>
        <w:t>Auburn University recognizes and values the considerable educational benefits emanating from diversity as we prepare our students for life and leadership in a multicultural world. Students who interact with and learn about people from a variety of backgrounds are more apt to understand, appreciate, and excel in the community they inhabit. In this context, diversity is aligned with Auburn University’s land grant mission of providing its students with a superior education in service to the needs of Alabama, the nation, and the world.</w:t>
      </w:r>
    </w:p>
    <w:p w14:paraId="180E44EF" w14:textId="0E7C5B66" w:rsidR="00F55654" w:rsidRPr="00C516DD" w:rsidRDefault="00F55654" w:rsidP="00F55654">
      <w:pPr>
        <w:pStyle w:val="Heading2"/>
        <w:spacing w:after="120"/>
      </w:pPr>
      <w:r w:rsidRPr="00C516DD">
        <w:lastRenderedPageBreak/>
        <w:t>Tentative 1</w:t>
      </w:r>
      <w:r w:rsidR="002B4161">
        <w:t>6</w:t>
      </w:r>
      <w:r w:rsidRPr="00C516DD">
        <w:t>-week Schedule:</w:t>
      </w:r>
    </w:p>
    <w:p w14:paraId="76773227" w14:textId="1F38BBBB" w:rsidR="00F55654" w:rsidRDefault="00F55654" w:rsidP="00F55654">
      <w:pPr>
        <w:spacing w:after="120"/>
        <w:rPr>
          <w:rFonts w:cs="Arial"/>
        </w:rPr>
      </w:pPr>
      <w:r w:rsidRPr="00C516DD">
        <w:rPr>
          <w:rFonts w:cs="Arial"/>
        </w:rPr>
        <w:t>NOTE: This course schedule is tentative and may be modified if necessary. All changes to the schedule will be communicated via Canvas.</w:t>
      </w:r>
    </w:p>
    <w:p w14:paraId="7F42A5FD" w14:textId="77777777" w:rsidR="00915316" w:rsidRDefault="00915316">
      <w:pPr>
        <w:sectPr w:rsidR="00915316">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805"/>
        <w:gridCol w:w="810"/>
        <w:gridCol w:w="990"/>
        <w:gridCol w:w="3150"/>
        <w:gridCol w:w="3150"/>
        <w:gridCol w:w="4045"/>
      </w:tblGrid>
      <w:tr w:rsidR="00915316" w:rsidRPr="004F4616" w14:paraId="7C9F5E81" w14:textId="77777777" w:rsidTr="00E415F4">
        <w:tc>
          <w:tcPr>
            <w:tcW w:w="805" w:type="dxa"/>
            <w:shd w:val="clear" w:color="auto" w:fill="D9D9D9" w:themeFill="background1" w:themeFillShade="D9"/>
          </w:tcPr>
          <w:p w14:paraId="407C29C9" w14:textId="77777777" w:rsidR="00915316" w:rsidRPr="008B3737" w:rsidRDefault="00915316" w:rsidP="00DA76AC">
            <w:pPr>
              <w:spacing w:after="0"/>
              <w:rPr>
                <w:rFonts w:cstheme="minorHAnsi"/>
                <w:b/>
                <w:bCs/>
              </w:rPr>
            </w:pPr>
            <w:r w:rsidRPr="008B3737">
              <w:rPr>
                <w:rFonts w:cstheme="minorHAnsi"/>
                <w:b/>
                <w:bCs/>
              </w:rPr>
              <w:lastRenderedPageBreak/>
              <w:t>Week</w:t>
            </w:r>
          </w:p>
        </w:tc>
        <w:tc>
          <w:tcPr>
            <w:tcW w:w="810" w:type="dxa"/>
            <w:shd w:val="clear" w:color="auto" w:fill="D9D9D9" w:themeFill="background1" w:themeFillShade="D9"/>
          </w:tcPr>
          <w:p w14:paraId="765BCB6C" w14:textId="77777777" w:rsidR="00915316" w:rsidRPr="008B3737" w:rsidRDefault="00915316" w:rsidP="00DA76AC">
            <w:pPr>
              <w:spacing w:after="0"/>
              <w:rPr>
                <w:rFonts w:cstheme="minorHAnsi"/>
                <w:b/>
                <w:bCs/>
              </w:rPr>
            </w:pPr>
            <w:r w:rsidRPr="008B3737">
              <w:rPr>
                <w:rFonts w:cstheme="minorHAnsi"/>
                <w:b/>
                <w:bCs/>
              </w:rPr>
              <w:t>Date</w:t>
            </w:r>
          </w:p>
        </w:tc>
        <w:tc>
          <w:tcPr>
            <w:tcW w:w="990" w:type="dxa"/>
            <w:shd w:val="clear" w:color="auto" w:fill="D9D9D9" w:themeFill="background1" w:themeFillShade="D9"/>
          </w:tcPr>
          <w:p w14:paraId="3A97F269" w14:textId="77777777" w:rsidR="00915316" w:rsidRPr="008B3737" w:rsidRDefault="00915316" w:rsidP="00DA76AC">
            <w:pPr>
              <w:spacing w:after="0"/>
              <w:rPr>
                <w:rFonts w:cstheme="minorHAnsi"/>
                <w:b/>
                <w:bCs/>
              </w:rPr>
            </w:pPr>
            <w:r w:rsidRPr="008B3737">
              <w:rPr>
                <w:rFonts w:cstheme="minorHAnsi"/>
                <w:b/>
                <w:bCs/>
              </w:rPr>
              <w:t>Topic</w:t>
            </w:r>
          </w:p>
        </w:tc>
        <w:tc>
          <w:tcPr>
            <w:tcW w:w="3150" w:type="dxa"/>
            <w:shd w:val="clear" w:color="auto" w:fill="D9D9D9" w:themeFill="background1" w:themeFillShade="D9"/>
          </w:tcPr>
          <w:p w14:paraId="723B6981" w14:textId="77777777" w:rsidR="00915316" w:rsidRPr="008B3737" w:rsidRDefault="00915316" w:rsidP="00DA76AC">
            <w:pPr>
              <w:spacing w:after="0"/>
              <w:rPr>
                <w:rFonts w:cstheme="minorHAnsi"/>
                <w:b/>
                <w:bCs/>
              </w:rPr>
            </w:pPr>
            <w:r w:rsidRPr="008B3737">
              <w:rPr>
                <w:rFonts w:cstheme="minorHAnsi"/>
                <w:b/>
                <w:bCs/>
              </w:rPr>
              <w:t>Reading</w:t>
            </w:r>
          </w:p>
        </w:tc>
        <w:tc>
          <w:tcPr>
            <w:tcW w:w="3150" w:type="dxa"/>
            <w:shd w:val="clear" w:color="auto" w:fill="D9D9D9" w:themeFill="background1" w:themeFillShade="D9"/>
          </w:tcPr>
          <w:p w14:paraId="6C4B5F04" w14:textId="77777777" w:rsidR="00915316" w:rsidRPr="008B3737" w:rsidRDefault="00915316" w:rsidP="00DA76AC">
            <w:pPr>
              <w:spacing w:after="0"/>
              <w:rPr>
                <w:rFonts w:cstheme="minorHAnsi"/>
                <w:b/>
                <w:bCs/>
              </w:rPr>
            </w:pPr>
            <w:r w:rsidRPr="008B3737">
              <w:rPr>
                <w:rFonts w:cstheme="minorHAnsi"/>
                <w:b/>
                <w:bCs/>
              </w:rPr>
              <w:t>Discussion question</w:t>
            </w:r>
          </w:p>
        </w:tc>
        <w:tc>
          <w:tcPr>
            <w:tcW w:w="4045" w:type="dxa"/>
            <w:shd w:val="clear" w:color="auto" w:fill="D9D9D9" w:themeFill="background1" w:themeFillShade="D9"/>
          </w:tcPr>
          <w:p w14:paraId="2288FEB0" w14:textId="77777777" w:rsidR="00915316" w:rsidRPr="008B3737" w:rsidRDefault="00915316" w:rsidP="00DA76AC">
            <w:pPr>
              <w:spacing w:after="0"/>
              <w:rPr>
                <w:rFonts w:cstheme="minorHAnsi"/>
                <w:b/>
                <w:bCs/>
              </w:rPr>
            </w:pPr>
            <w:r w:rsidRPr="008B3737">
              <w:rPr>
                <w:rFonts w:cstheme="minorHAnsi"/>
                <w:b/>
                <w:bCs/>
              </w:rPr>
              <w:t>Assignment/Activity</w:t>
            </w:r>
          </w:p>
        </w:tc>
      </w:tr>
      <w:tr w:rsidR="00915316" w:rsidRPr="004F4616" w14:paraId="66BF23D0" w14:textId="77777777" w:rsidTr="00FA440F">
        <w:tc>
          <w:tcPr>
            <w:tcW w:w="12950" w:type="dxa"/>
            <w:gridSpan w:val="6"/>
          </w:tcPr>
          <w:p w14:paraId="08F98064" w14:textId="06F8A0CC" w:rsidR="00915316" w:rsidRPr="00971725" w:rsidRDefault="00AE56EA" w:rsidP="00DA76AC">
            <w:pPr>
              <w:spacing w:after="0"/>
              <w:rPr>
                <w:rFonts w:cstheme="minorHAnsi"/>
                <w:b/>
                <w:bCs/>
              </w:rPr>
            </w:pPr>
            <w:r w:rsidRPr="00AE56EA">
              <w:rPr>
                <w:rFonts w:cstheme="minorHAnsi"/>
                <w:b/>
                <w:bCs/>
              </w:rPr>
              <w:t>Module 1</w:t>
            </w:r>
            <w:r w:rsidR="00DC6F7D">
              <w:rPr>
                <w:rFonts w:cstheme="minorHAnsi"/>
                <w:b/>
                <w:bCs/>
              </w:rPr>
              <w:t xml:space="preserve"> – </w:t>
            </w:r>
            <w:r w:rsidRPr="00AE56EA">
              <w:rPr>
                <w:rFonts w:cstheme="minorHAnsi"/>
                <w:b/>
                <w:bCs/>
              </w:rPr>
              <w:t>Making an impact</w:t>
            </w:r>
          </w:p>
        </w:tc>
      </w:tr>
      <w:tr w:rsidR="000C27F2" w:rsidRPr="004F4616" w14:paraId="4299576D" w14:textId="77777777" w:rsidTr="00E415F4">
        <w:tc>
          <w:tcPr>
            <w:tcW w:w="805" w:type="dxa"/>
            <w:vMerge w:val="restart"/>
          </w:tcPr>
          <w:p w14:paraId="4DCDD833" w14:textId="77777777" w:rsidR="000C27F2" w:rsidRPr="004F4616" w:rsidRDefault="000C27F2" w:rsidP="00DA76AC">
            <w:pPr>
              <w:spacing w:after="0"/>
              <w:jc w:val="center"/>
              <w:rPr>
                <w:rFonts w:cstheme="minorHAnsi"/>
              </w:rPr>
            </w:pPr>
            <w:r w:rsidRPr="004F4616">
              <w:rPr>
                <w:rFonts w:cstheme="minorHAnsi"/>
              </w:rPr>
              <w:t>Week 1</w:t>
            </w:r>
          </w:p>
        </w:tc>
        <w:tc>
          <w:tcPr>
            <w:tcW w:w="810" w:type="dxa"/>
          </w:tcPr>
          <w:p w14:paraId="6CEBFD1C" w14:textId="77777777" w:rsidR="000C27F2" w:rsidRPr="004F4616" w:rsidRDefault="000C27F2" w:rsidP="00DA76AC">
            <w:pPr>
              <w:spacing w:after="0"/>
              <w:rPr>
                <w:rFonts w:cstheme="minorHAnsi"/>
              </w:rPr>
            </w:pPr>
            <w:r w:rsidRPr="0087049F">
              <w:rPr>
                <w:rFonts w:cstheme="minorHAnsi"/>
              </w:rPr>
              <w:t>8/17</w:t>
            </w:r>
          </w:p>
        </w:tc>
        <w:tc>
          <w:tcPr>
            <w:tcW w:w="990" w:type="dxa"/>
          </w:tcPr>
          <w:p w14:paraId="3459FA2F" w14:textId="77777777" w:rsidR="000C27F2" w:rsidRPr="004F4616" w:rsidRDefault="000C27F2" w:rsidP="00DA76AC">
            <w:pPr>
              <w:spacing w:after="0"/>
              <w:rPr>
                <w:rFonts w:cstheme="minorHAnsi"/>
              </w:rPr>
            </w:pPr>
            <w:r>
              <w:rPr>
                <w:rFonts w:cstheme="minorHAnsi"/>
              </w:rPr>
              <w:t>Introduction</w:t>
            </w:r>
          </w:p>
        </w:tc>
        <w:tc>
          <w:tcPr>
            <w:tcW w:w="10345" w:type="dxa"/>
            <w:gridSpan w:val="3"/>
          </w:tcPr>
          <w:p w14:paraId="01BAF4E2" w14:textId="77777777" w:rsidR="000C27F2" w:rsidRDefault="00266E44" w:rsidP="00DA76AC">
            <w:pPr>
              <w:spacing w:after="0"/>
              <w:rPr>
                <w:rFonts w:cstheme="minorHAnsi"/>
              </w:rPr>
            </w:pPr>
            <w:r>
              <w:rPr>
                <w:rFonts w:cstheme="minorHAnsi"/>
              </w:rPr>
              <w:t>Syllabus review</w:t>
            </w:r>
          </w:p>
          <w:p w14:paraId="1C63FACD" w14:textId="5339382A" w:rsidR="00266E44" w:rsidRPr="004F4616" w:rsidRDefault="00266E44" w:rsidP="00DA76AC">
            <w:pPr>
              <w:spacing w:after="0"/>
              <w:rPr>
                <w:rFonts w:cstheme="minorHAnsi"/>
              </w:rPr>
            </w:pPr>
            <w:r w:rsidRPr="00266E44">
              <w:rPr>
                <w:rFonts w:cstheme="minorHAnsi"/>
                <w:b/>
                <w:bCs/>
              </w:rPr>
              <w:t>Activity:</w:t>
            </w:r>
            <w:r w:rsidRPr="006F78E8">
              <w:rPr>
                <w:rFonts w:cstheme="minorHAnsi"/>
              </w:rPr>
              <w:t xml:space="preserve"> The four-lens framework</w:t>
            </w:r>
          </w:p>
        </w:tc>
      </w:tr>
      <w:tr w:rsidR="00915316" w:rsidRPr="004F4616" w14:paraId="3DFAC690" w14:textId="77777777" w:rsidTr="00E415F4">
        <w:tc>
          <w:tcPr>
            <w:tcW w:w="805" w:type="dxa"/>
            <w:vMerge/>
          </w:tcPr>
          <w:p w14:paraId="0FBBB8FB" w14:textId="77777777" w:rsidR="00915316" w:rsidRPr="004F4616" w:rsidRDefault="00915316" w:rsidP="00DA76AC">
            <w:pPr>
              <w:spacing w:after="0"/>
              <w:jc w:val="center"/>
              <w:rPr>
                <w:rFonts w:cstheme="minorHAnsi"/>
              </w:rPr>
            </w:pPr>
          </w:p>
        </w:tc>
        <w:tc>
          <w:tcPr>
            <w:tcW w:w="810" w:type="dxa"/>
          </w:tcPr>
          <w:p w14:paraId="2FB43A7E" w14:textId="77777777" w:rsidR="00915316" w:rsidRPr="004F4616" w:rsidRDefault="00915316" w:rsidP="00DA76AC">
            <w:pPr>
              <w:spacing w:after="0"/>
              <w:rPr>
                <w:rFonts w:cstheme="minorHAnsi"/>
              </w:rPr>
            </w:pPr>
            <w:r w:rsidRPr="004F4616">
              <w:rPr>
                <w:rFonts w:cstheme="minorHAnsi"/>
              </w:rPr>
              <w:t>8/</w:t>
            </w:r>
            <w:r>
              <w:rPr>
                <w:rFonts w:cstheme="minorHAnsi"/>
              </w:rPr>
              <w:t>19</w:t>
            </w:r>
          </w:p>
        </w:tc>
        <w:tc>
          <w:tcPr>
            <w:tcW w:w="990" w:type="dxa"/>
          </w:tcPr>
          <w:p w14:paraId="3034CE4A" w14:textId="2F90C7F6" w:rsidR="00915316" w:rsidRPr="004F4616" w:rsidRDefault="00944769" w:rsidP="00DA76AC">
            <w:pPr>
              <w:spacing w:after="0"/>
              <w:rPr>
                <w:rFonts w:cstheme="minorHAnsi"/>
              </w:rPr>
            </w:pPr>
            <w:r>
              <w:rPr>
                <w:rFonts w:cstheme="minorHAnsi"/>
              </w:rPr>
              <w:t>Working in the nonprofit sector</w:t>
            </w:r>
          </w:p>
        </w:tc>
        <w:tc>
          <w:tcPr>
            <w:tcW w:w="3150" w:type="dxa"/>
          </w:tcPr>
          <w:p w14:paraId="4B18C971" w14:textId="3A71CABA" w:rsidR="00915316" w:rsidRPr="004F4616" w:rsidRDefault="0016717C" w:rsidP="00DA76AC">
            <w:pPr>
              <w:spacing w:after="0"/>
              <w:rPr>
                <w:rFonts w:cstheme="minorHAnsi"/>
              </w:rPr>
            </w:pPr>
            <w:r w:rsidRPr="0016717C">
              <w:rPr>
                <w:rFonts w:cstheme="minorHAnsi"/>
              </w:rPr>
              <w:t>Opening thoughts</w:t>
            </w:r>
            <w:r>
              <w:rPr>
                <w:rFonts w:cstheme="minorHAnsi"/>
              </w:rPr>
              <w:t xml:space="preserve">. </w:t>
            </w:r>
            <w:r w:rsidRPr="0016717C">
              <w:rPr>
                <w:rFonts w:cstheme="minorHAnsi"/>
              </w:rPr>
              <w:t>Why do you want to work in the nonprofit sector anyway?</w:t>
            </w:r>
            <w:r w:rsidR="003B20AF">
              <w:rPr>
                <w:rFonts w:cstheme="minorHAnsi"/>
              </w:rPr>
              <w:t xml:space="preserve"> Idealist.org </w:t>
            </w:r>
          </w:p>
        </w:tc>
        <w:tc>
          <w:tcPr>
            <w:tcW w:w="3150" w:type="dxa"/>
          </w:tcPr>
          <w:p w14:paraId="10F4CE1E" w14:textId="6889B3B1" w:rsidR="00915316" w:rsidRPr="004F4616" w:rsidRDefault="00594A7D" w:rsidP="00DA76AC">
            <w:pPr>
              <w:spacing w:after="0"/>
              <w:rPr>
                <w:rFonts w:cstheme="minorHAnsi"/>
              </w:rPr>
            </w:pPr>
            <w:r w:rsidRPr="00940CD9">
              <w:rPr>
                <w:rFonts w:cstheme="minorHAnsi"/>
                <w:i/>
                <w:iCs/>
              </w:rPr>
              <w:t>Question</w:t>
            </w:r>
            <w:r w:rsidR="00940CD9" w:rsidRPr="00940CD9">
              <w:rPr>
                <w:rFonts w:cstheme="minorHAnsi"/>
                <w:i/>
                <w:iCs/>
              </w:rPr>
              <w:t xml:space="preserve"> #1</w:t>
            </w:r>
            <w:r w:rsidR="00621D66">
              <w:rPr>
                <w:rFonts w:cstheme="minorHAnsi"/>
              </w:rPr>
              <w:t xml:space="preserve">: </w:t>
            </w:r>
            <w:r w:rsidR="00940CD9" w:rsidRPr="00940CD9">
              <w:rPr>
                <w:rFonts w:cstheme="minorHAnsi"/>
              </w:rPr>
              <w:t>How is working in the nonprofit sector different from the for-profit and public sectors? Is it easier or more difficult? Why?</w:t>
            </w:r>
          </w:p>
        </w:tc>
        <w:tc>
          <w:tcPr>
            <w:tcW w:w="4045" w:type="dxa"/>
          </w:tcPr>
          <w:p w14:paraId="36D05A1F" w14:textId="0E448C84" w:rsidR="001D7565" w:rsidRDefault="001D7565" w:rsidP="00DA76AC">
            <w:pPr>
              <w:spacing w:after="0"/>
              <w:rPr>
                <w:rFonts w:cstheme="minorHAnsi"/>
              </w:rPr>
            </w:pPr>
            <w:r w:rsidRPr="00266E44">
              <w:rPr>
                <w:rFonts w:cstheme="minorHAnsi"/>
                <w:b/>
                <w:bCs/>
              </w:rPr>
              <w:t>Video</w:t>
            </w:r>
            <w:r w:rsidR="00266E44" w:rsidRPr="00266E44">
              <w:rPr>
                <w:rFonts w:cstheme="minorHAnsi"/>
                <w:b/>
                <w:bCs/>
              </w:rPr>
              <w:t xml:space="preserve"> analysis</w:t>
            </w:r>
            <w:r w:rsidRPr="00266E44">
              <w:rPr>
                <w:rFonts w:cstheme="minorHAnsi"/>
                <w:b/>
                <w:bCs/>
              </w:rPr>
              <w:t xml:space="preserve">: </w:t>
            </w:r>
            <w:hyperlink r:id="rId10" w:history="1">
              <w:r w:rsidRPr="00266E44">
                <w:rPr>
                  <w:rStyle w:val="Hyperlink"/>
                  <w:rFonts w:cstheme="minorHAnsi"/>
                </w:rPr>
                <w:t xml:space="preserve">Be persistent, be present, &amp; use your gift | Chef Otto | </w:t>
              </w:r>
              <w:proofErr w:type="spellStart"/>
              <w:r w:rsidRPr="00266E44">
                <w:rPr>
                  <w:rStyle w:val="Hyperlink"/>
                  <w:rFonts w:cstheme="minorHAnsi"/>
                </w:rPr>
                <w:t>TEDxWilmington</w:t>
              </w:r>
              <w:proofErr w:type="spellEnd"/>
            </w:hyperlink>
            <w:r w:rsidRPr="001D7565">
              <w:rPr>
                <w:rFonts w:cstheme="minorHAnsi"/>
              </w:rPr>
              <w:t xml:space="preserve"> </w:t>
            </w:r>
          </w:p>
          <w:p w14:paraId="7034D9A7" w14:textId="25244CA3" w:rsidR="006A3CBA" w:rsidRDefault="006A3CBA" w:rsidP="00DA76AC">
            <w:pPr>
              <w:spacing w:after="0"/>
              <w:rPr>
                <w:rFonts w:cstheme="minorHAnsi"/>
              </w:rPr>
            </w:pPr>
            <w:r w:rsidRPr="00266E44">
              <w:rPr>
                <w:rFonts w:cstheme="minorHAnsi"/>
                <w:b/>
                <w:bCs/>
              </w:rPr>
              <w:t xml:space="preserve">Activity </w:t>
            </w:r>
            <w:r w:rsidR="00266E44" w:rsidRPr="00266E44">
              <w:rPr>
                <w:rFonts w:cstheme="minorHAnsi"/>
                <w:b/>
                <w:bCs/>
              </w:rPr>
              <w:t>1</w:t>
            </w:r>
            <w:r w:rsidRPr="00266E44">
              <w:rPr>
                <w:rFonts w:cstheme="minorHAnsi"/>
                <w:b/>
                <w:bCs/>
              </w:rPr>
              <w:t xml:space="preserve">: </w:t>
            </w:r>
            <w:r w:rsidRPr="006A3CBA">
              <w:rPr>
                <w:rFonts w:cstheme="minorHAnsi"/>
              </w:rPr>
              <w:t>Time, Talents, and Treasures</w:t>
            </w:r>
          </w:p>
          <w:p w14:paraId="52DF1015" w14:textId="27DC777D" w:rsidR="006A3CBA" w:rsidRDefault="006A3CBA" w:rsidP="00DA76AC">
            <w:pPr>
              <w:spacing w:after="0"/>
              <w:rPr>
                <w:rFonts w:cstheme="minorHAnsi"/>
              </w:rPr>
            </w:pPr>
            <w:r w:rsidRPr="00266E44">
              <w:rPr>
                <w:rFonts w:cstheme="minorHAnsi"/>
                <w:b/>
                <w:bCs/>
              </w:rPr>
              <w:t xml:space="preserve">Activity </w:t>
            </w:r>
            <w:r w:rsidR="00266E44" w:rsidRPr="00266E44">
              <w:rPr>
                <w:rFonts w:cstheme="minorHAnsi"/>
                <w:b/>
                <w:bCs/>
              </w:rPr>
              <w:t>2</w:t>
            </w:r>
            <w:r w:rsidRPr="00266E44">
              <w:rPr>
                <w:rFonts w:cstheme="minorHAnsi"/>
                <w:b/>
                <w:bCs/>
              </w:rPr>
              <w:t>:</w:t>
            </w:r>
            <w:r>
              <w:rPr>
                <w:rFonts w:cstheme="minorHAnsi"/>
              </w:rPr>
              <w:t xml:space="preserve"> </w:t>
            </w:r>
            <w:r w:rsidRPr="006A3CBA">
              <w:rPr>
                <w:rFonts w:cstheme="minorHAnsi"/>
              </w:rPr>
              <w:t>Clarifying Your Greatest Skills</w:t>
            </w:r>
          </w:p>
          <w:p w14:paraId="1A94151D" w14:textId="05DF3385" w:rsidR="009D6194" w:rsidRPr="004F4616" w:rsidRDefault="009D6194" w:rsidP="00DA76AC">
            <w:pPr>
              <w:spacing w:after="0"/>
              <w:rPr>
                <w:rFonts w:cstheme="minorHAnsi"/>
              </w:rPr>
            </w:pPr>
          </w:p>
        </w:tc>
      </w:tr>
      <w:tr w:rsidR="006C4C61" w:rsidRPr="004F4616" w14:paraId="53B6A3F9" w14:textId="77777777" w:rsidTr="00E415F4">
        <w:tc>
          <w:tcPr>
            <w:tcW w:w="805" w:type="dxa"/>
            <w:vMerge w:val="restart"/>
          </w:tcPr>
          <w:p w14:paraId="58A051A9" w14:textId="77777777" w:rsidR="006C4C61" w:rsidRPr="004F4616" w:rsidRDefault="006C4C61" w:rsidP="00DA76AC">
            <w:pPr>
              <w:spacing w:after="0"/>
              <w:jc w:val="center"/>
              <w:rPr>
                <w:rFonts w:cstheme="minorHAnsi"/>
              </w:rPr>
            </w:pPr>
            <w:r w:rsidRPr="004F4616">
              <w:rPr>
                <w:rFonts w:cstheme="minorHAnsi"/>
              </w:rPr>
              <w:t>Week 2</w:t>
            </w:r>
          </w:p>
        </w:tc>
        <w:tc>
          <w:tcPr>
            <w:tcW w:w="810" w:type="dxa"/>
          </w:tcPr>
          <w:p w14:paraId="1969A7F3" w14:textId="77777777" w:rsidR="006C4C61" w:rsidRPr="004F4616" w:rsidRDefault="006C4C61" w:rsidP="00DA76AC">
            <w:pPr>
              <w:spacing w:after="0"/>
              <w:rPr>
                <w:rFonts w:cstheme="minorHAnsi"/>
              </w:rPr>
            </w:pPr>
            <w:r w:rsidRPr="004F4616">
              <w:rPr>
                <w:rFonts w:cstheme="minorHAnsi"/>
              </w:rPr>
              <w:t>8</w:t>
            </w:r>
            <w:r>
              <w:rPr>
                <w:rFonts w:cstheme="minorHAnsi"/>
              </w:rPr>
              <w:t>/</w:t>
            </w:r>
            <w:r w:rsidRPr="004F4616">
              <w:rPr>
                <w:rFonts w:cstheme="minorHAnsi"/>
              </w:rPr>
              <w:t>2</w:t>
            </w:r>
            <w:r>
              <w:rPr>
                <w:rFonts w:cstheme="minorHAnsi"/>
              </w:rPr>
              <w:t>4</w:t>
            </w:r>
          </w:p>
        </w:tc>
        <w:tc>
          <w:tcPr>
            <w:tcW w:w="990" w:type="dxa"/>
            <w:vMerge w:val="restart"/>
            <w:vAlign w:val="center"/>
          </w:tcPr>
          <w:p w14:paraId="5581DAC0" w14:textId="7E4B5C19" w:rsidR="006C4C61" w:rsidRPr="004F4616" w:rsidRDefault="006C4C61" w:rsidP="00DA76AC">
            <w:pPr>
              <w:spacing w:after="0"/>
              <w:jc w:val="center"/>
              <w:rPr>
                <w:rFonts w:cstheme="minorHAnsi"/>
              </w:rPr>
            </w:pPr>
            <w:r w:rsidRPr="006C4C61">
              <w:rPr>
                <w:rFonts w:cstheme="minorHAnsi"/>
              </w:rPr>
              <w:t>Philanthropy</w:t>
            </w:r>
          </w:p>
        </w:tc>
        <w:tc>
          <w:tcPr>
            <w:tcW w:w="3150" w:type="dxa"/>
          </w:tcPr>
          <w:p w14:paraId="694277AA" w14:textId="3652A97A" w:rsidR="00594A7D" w:rsidRDefault="0016717C" w:rsidP="00DA76AC">
            <w:pPr>
              <w:spacing w:after="0"/>
            </w:pPr>
            <w:r>
              <w:rPr>
                <w:rFonts w:cstheme="minorHAnsi"/>
              </w:rPr>
              <w:t>Payton &amp; Moody, Introduction (pp. 1-23)</w:t>
            </w:r>
          </w:p>
          <w:p w14:paraId="71B1E704" w14:textId="1E801E77" w:rsidR="006C4C61" w:rsidRPr="004F4616" w:rsidRDefault="006C4C61" w:rsidP="00DA76AC">
            <w:pPr>
              <w:spacing w:after="0"/>
              <w:rPr>
                <w:rFonts w:cstheme="minorHAnsi"/>
              </w:rPr>
            </w:pPr>
          </w:p>
        </w:tc>
        <w:tc>
          <w:tcPr>
            <w:tcW w:w="3150" w:type="dxa"/>
          </w:tcPr>
          <w:p w14:paraId="50F87A8A" w14:textId="6D854415" w:rsidR="006C4C61" w:rsidRPr="004F4616" w:rsidRDefault="00594A7D" w:rsidP="00DA76AC">
            <w:pPr>
              <w:spacing w:after="0"/>
              <w:rPr>
                <w:rFonts w:cstheme="minorHAnsi"/>
              </w:rPr>
            </w:pPr>
            <w:r w:rsidRPr="00940CD9">
              <w:rPr>
                <w:rFonts w:cstheme="minorHAnsi"/>
                <w:i/>
                <w:iCs/>
              </w:rPr>
              <w:t>Question</w:t>
            </w:r>
            <w:r w:rsidR="00940CD9" w:rsidRPr="00940CD9">
              <w:rPr>
                <w:rFonts w:cstheme="minorHAnsi"/>
                <w:i/>
                <w:iCs/>
              </w:rPr>
              <w:t xml:space="preserve"> #2</w:t>
            </w:r>
            <w:r w:rsidR="00940CD9">
              <w:rPr>
                <w:rFonts w:cstheme="minorHAnsi"/>
              </w:rPr>
              <w:t>: What does philanthropy mean to you? And how does you definition differ from or relate to the reading by Payton and Moody?</w:t>
            </w:r>
          </w:p>
        </w:tc>
        <w:tc>
          <w:tcPr>
            <w:tcW w:w="4045" w:type="dxa"/>
          </w:tcPr>
          <w:p w14:paraId="01087EAE" w14:textId="77777777" w:rsidR="006C4C61" w:rsidRDefault="00AF5309" w:rsidP="00DA76AC">
            <w:pPr>
              <w:spacing w:after="0"/>
              <w:rPr>
                <w:rFonts w:cstheme="minorHAnsi"/>
              </w:rPr>
            </w:pPr>
            <w:r w:rsidRPr="003A4AFB">
              <w:rPr>
                <w:rFonts w:cstheme="minorHAnsi"/>
                <w:b/>
                <w:bCs/>
              </w:rPr>
              <w:t>Activity 1:</w:t>
            </w:r>
            <w:r>
              <w:rPr>
                <w:rFonts w:cstheme="minorHAnsi"/>
              </w:rPr>
              <w:t xml:space="preserve"> </w:t>
            </w:r>
            <w:r w:rsidRPr="00AF5309">
              <w:rPr>
                <w:rFonts w:cstheme="minorHAnsi"/>
              </w:rPr>
              <w:t>Stereotypes</w:t>
            </w:r>
          </w:p>
          <w:p w14:paraId="055CC9CE" w14:textId="22571C73" w:rsidR="00AF5309" w:rsidRPr="004F4616" w:rsidRDefault="00AF5309" w:rsidP="00DA76AC">
            <w:pPr>
              <w:spacing w:after="0"/>
              <w:rPr>
                <w:rFonts w:cstheme="minorHAnsi"/>
              </w:rPr>
            </w:pPr>
            <w:r w:rsidRPr="003A4AFB">
              <w:rPr>
                <w:rFonts w:cstheme="minorHAnsi"/>
                <w:b/>
                <w:bCs/>
              </w:rPr>
              <w:t>Activity 2:</w:t>
            </w:r>
            <w:r>
              <w:rPr>
                <w:rFonts w:cstheme="minorHAnsi"/>
              </w:rPr>
              <w:t xml:space="preserve"> </w:t>
            </w:r>
            <w:r w:rsidRPr="00AF5309">
              <w:rPr>
                <w:rFonts w:cstheme="minorHAnsi"/>
              </w:rPr>
              <w:t>Gratitude</w:t>
            </w:r>
          </w:p>
        </w:tc>
      </w:tr>
      <w:tr w:rsidR="006C4C61" w:rsidRPr="004F4616" w14:paraId="15F56EFA" w14:textId="77777777" w:rsidTr="00E415F4">
        <w:tc>
          <w:tcPr>
            <w:tcW w:w="805" w:type="dxa"/>
            <w:vMerge/>
          </w:tcPr>
          <w:p w14:paraId="20BD73E1" w14:textId="77777777" w:rsidR="006C4C61" w:rsidRPr="004F4616" w:rsidRDefault="006C4C61" w:rsidP="00DA76AC">
            <w:pPr>
              <w:spacing w:after="0"/>
              <w:jc w:val="center"/>
              <w:rPr>
                <w:rFonts w:cstheme="minorHAnsi"/>
              </w:rPr>
            </w:pPr>
          </w:p>
        </w:tc>
        <w:tc>
          <w:tcPr>
            <w:tcW w:w="810" w:type="dxa"/>
          </w:tcPr>
          <w:p w14:paraId="1F135236" w14:textId="77777777" w:rsidR="006C4C61" w:rsidRPr="004F4616" w:rsidRDefault="006C4C61" w:rsidP="00DA76AC">
            <w:pPr>
              <w:spacing w:after="0"/>
              <w:rPr>
                <w:rFonts w:cstheme="minorHAnsi"/>
              </w:rPr>
            </w:pPr>
            <w:r>
              <w:rPr>
                <w:rFonts w:cstheme="minorHAnsi"/>
              </w:rPr>
              <w:t>8/26</w:t>
            </w:r>
          </w:p>
        </w:tc>
        <w:tc>
          <w:tcPr>
            <w:tcW w:w="990" w:type="dxa"/>
            <w:vMerge/>
          </w:tcPr>
          <w:p w14:paraId="4345A26E" w14:textId="3BC60FC7" w:rsidR="006C4C61" w:rsidRPr="004F4616" w:rsidRDefault="006C4C61" w:rsidP="00DA76AC">
            <w:pPr>
              <w:spacing w:after="0"/>
              <w:rPr>
                <w:rFonts w:cstheme="minorHAnsi"/>
              </w:rPr>
            </w:pPr>
          </w:p>
        </w:tc>
        <w:tc>
          <w:tcPr>
            <w:tcW w:w="3150" w:type="dxa"/>
          </w:tcPr>
          <w:p w14:paraId="6175345E" w14:textId="5D3CADC1" w:rsidR="006C4C61" w:rsidRPr="00F5278A" w:rsidRDefault="00DA76AC" w:rsidP="00DA76AC">
            <w:pPr>
              <w:spacing w:after="0"/>
              <w:rPr>
                <w:rFonts w:cstheme="minorHAnsi"/>
              </w:rPr>
            </w:pPr>
            <w:r w:rsidRPr="00DA76AC">
              <w:rPr>
                <w:rFonts w:cstheme="minorHAnsi"/>
              </w:rPr>
              <w:t xml:space="preserve">Maimonides' Eight Levels of Charity </w:t>
            </w:r>
          </w:p>
        </w:tc>
        <w:tc>
          <w:tcPr>
            <w:tcW w:w="3150" w:type="dxa"/>
          </w:tcPr>
          <w:p w14:paraId="6866F541" w14:textId="4F90A2D4" w:rsidR="006C4C61" w:rsidRPr="00F50E5E" w:rsidRDefault="006C4C61" w:rsidP="00DA76AC">
            <w:pPr>
              <w:spacing w:after="0"/>
              <w:rPr>
                <w:rFonts w:cstheme="minorHAnsi"/>
                <w:u w:val="single"/>
              </w:rPr>
            </w:pPr>
          </w:p>
        </w:tc>
        <w:tc>
          <w:tcPr>
            <w:tcW w:w="4045" w:type="dxa"/>
          </w:tcPr>
          <w:p w14:paraId="1227C0AF" w14:textId="77777777" w:rsidR="006C4C61" w:rsidRDefault="00346F1D" w:rsidP="00DA76AC">
            <w:pPr>
              <w:spacing w:after="0"/>
              <w:rPr>
                <w:rFonts w:cstheme="minorHAnsi"/>
              </w:rPr>
            </w:pPr>
            <w:r w:rsidRPr="003A4AFB">
              <w:rPr>
                <w:rFonts w:cstheme="minorHAnsi"/>
                <w:b/>
                <w:bCs/>
              </w:rPr>
              <w:t>Activity:</w:t>
            </w:r>
            <w:r>
              <w:rPr>
                <w:rFonts w:cstheme="minorHAnsi"/>
              </w:rPr>
              <w:t xml:space="preserve"> Review and analysis of videos</w:t>
            </w:r>
          </w:p>
          <w:p w14:paraId="50DBA929" w14:textId="0AFF2B4D" w:rsidR="00A50BB3" w:rsidRPr="004F4616" w:rsidRDefault="00A50BB3" w:rsidP="00DA76AC">
            <w:pPr>
              <w:spacing w:after="0"/>
              <w:rPr>
                <w:rFonts w:cstheme="minorHAnsi"/>
              </w:rPr>
            </w:pPr>
            <w:r w:rsidRPr="003A4AFB">
              <w:rPr>
                <w:rFonts w:cstheme="minorHAnsi"/>
                <w:b/>
                <w:bCs/>
              </w:rPr>
              <w:t>Activity:</w:t>
            </w:r>
            <w:r>
              <w:rPr>
                <w:rFonts w:cstheme="minorHAnsi"/>
              </w:rPr>
              <w:t xml:space="preserve"> </w:t>
            </w:r>
            <w:r w:rsidRPr="00A50BB3">
              <w:rPr>
                <w:rFonts w:cstheme="minorHAnsi"/>
              </w:rPr>
              <w:t>Statement of Values and Beliefs Worksheet</w:t>
            </w:r>
          </w:p>
        </w:tc>
      </w:tr>
      <w:tr w:rsidR="006C4C61" w:rsidRPr="004F4616" w14:paraId="208990AF" w14:textId="77777777" w:rsidTr="00E415F4">
        <w:tc>
          <w:tcPr>
            <w:tcW w:w="805" w:type="dxa"/>
            <w:vMerge w:val="restart"/>
          </w:tcPr>
          <w:p w14:paraId="03AF2193" w14:textId="77777777" w:rsidR="006C4C61" w:rsidRPr="004F4616" w:rsidRDefault="006C4C61" w:rsidP="00DA76AC">
            <w:pPr>
              <w:spacing w:after="0"/>
              <w:jc w:val="center"/>
              <w:rPr>
                <w:rFonts w:cstheme="minorHAnsi"/>
              </w:rPr>
            </w:pPr>
            <w:r w:rsidRPr="004F4616">
              <w:rPr>
                <w:rFonts w:cstheme="minorHAnsi"/>
              </w:rPr>
              <w:t>Week 3</w:t>
            </w:r>
          </w:p>
        </w:tc>
        <w:tc>
          <w:tcPr>
            <w:tcW w:w="810" w:type="dxa"/>
          </w:tcPr>
          <w:p w14:paraId="70A7B314" w14:textId="77777777" w:rsidR="006C4C61" w:rsidRPr="004F4616" w:rsidRDefault="006C4C61" w:rsidP="00DA76AC">
            <w:pPr>
              <w:spacing w:after="0"/>
              <w:rPr>
                <w:rFonts w:cstheme="minorHAnsi"/>
              </w:rPr>
            </w:pPr>
            <w:r>
              <w:rPr>
                <w:rFonts w:cstheme="minorHAnsi"/>
              </w:rPr>
              <w:t>8/31</w:t>
            </w:r>
          </w:p>
        </w:tc>
        <w:tc>
          <w:tcPr>
            <w:tcW w:w="990" w:type="dxa"/>
            <w:vMerge w:val="restart"/>
            <w:vAlign w:val="center"/>
          </w:tcPr>
          <w:p w14:paraId="1E3C7DA1" w14:textId="555C7D00" w:rsidR="006C4C61" w:rsidRPr="004F4616" w:rsidRDefault="006C4C61" w:rsidP="00DA76AC">
            <w:pPr>
              <w:spacing w:after="0"/>
              <w:jc w:val="center"/>
              <w:rPr>
                <w:rFonts w:cstheme="minorHAnsi"/>
              </w:rPr>
            </w:pPr>
            <w:r>
              <w:rPr>
                <w:rFonts w:cstheme="minorHAnsi"/>
              </w:rPr>
              <w:t>Nonprofit sector</w:t>
            </w:r>
          </w:p>
        </w:tc>
        <w:tc>
          <w:tcPr>
            <w:tcW w:w="3150" w:type="dxa"/>
          </w:tcPr>
          <w:p w14:paraId="11AC5A90" w14:textId="47DC8314" w:rsidR="006C4C61" w:rsidRPr="004F4616" w:rsidRDefault="0030290D" w:rsidP="00DA76AC">
            <w:pPr>
              <w:spacing w:after="0"/>
              <w:rPr>
                <w:rFonts w:cstheme="minorHAnsi"/>
              </w:rPr>
            </w:pPr>
            <w:r>
              <w:rPr>
                <w:rFonts w:cstheme="minorHAnsi"/>
              </w:rPr>
              <w:t xml:space="preserve">National Council of Nonprofits. (2019). </w:t>
            </w:r>
            <w:r w:rsidR="009D6194" w:rsidRPr="0030290D">
              <w:rPr>
                <w:rFonts w:cstheme="minorHAnsi"/>
                <w:i/>
                <w:iCs/>
              </w:rPr>
              <w:t>Nonprofit Impact Matters: How America’s Charitable Nonprofits Strengthen Communities and Improve Lives</w:t>
            </w:r>
            <w:r w:rsidR="009D6194">
              <w:rPr>
                <w:rFonts w:cstheme="minorHAnsi"/>
              </w:rPr>
              <w:t>.</w:t>
            </w:r>
            <w:r>
              <w:rPr>
                <w:rFonts w:cstheme="minorHAnsi"/>
              </w:rPr>
              <w:t xml:space="preserve"> NCN.</w:t>
            </w:r>
          </w:p>
        </w:tc>
        <w:tc>
          <w:tcPr>
            <w:tcW w:w="3150" w:type="dxa"/>
          </w:tcPr>
          <w:p w14:paraId="1C1B0E52" w14:textId="24ABA075" w:rsidR="006C4C61" w:rsidRPr="004F4616" w:rsidRDefault="00594A7D" w:rsidP="00DA76AC">
            <w:pPr>
              <w:spacing w:after="0"/>
              <w:rPr>
                <w:rFonts w:cstheme="minorHAnsi"/>
              </w:rPr>
            </w:pPr>
            <w:r w:rsidRPr="00940CD9">
              <w:rPr>
                <w:rFonts w:cstheme="minorHAnsi"/>
                <w:i/>
                <w:iCs/>
              </w:rPr>
              <w:t>Question</w:t>
            </w:r>
            <w:r w:rsidR="00940CD9" w:rsidRPr="00940CD9">
              <w:rPr>
                <w:rFonts w:cstheme="minorHAnsi"/>
                <w:i/>
                <w:iCs/>
              </w:rPr>
              <w:t xml:space="preserve"> 3</w:t>
            </w:r>
            <w:r w:rsidR="00621D66">
              <w:rPr>
                <w:rFonts w:cstheme="minorHAnsi"/>
              </w:rPr>
              <w:t xml:space="preserve">: </w:t>
            </w:r>
            <w:r w:rsidR="00621D66" w:rsidRPr="00621D66">
              <w:rPr>
                <w:rFonts w:cstheme="minorHAnsi"/>
              </w:rPr>
              <w:t xml:space="preserve">What are the 3 most surprising “facts” about the nonprofit sector that you learned from this </w:t>
            </w:r>
            <w:r w:rsidR="00940CD9">
              <w:rPr>
                <w:rFonts w:cstheme="minorHAnsi"/>
              </w:rPr>
              <w:t>reading</w:t>
            </w:r>
            <w:r w:rsidR="00621D66" w:rsidRPr="00621D66">
              <w:rPr>
                <w:rFonts w:cstheme="minorHAnsi"/>
              </w:rPr>
              <w:t>?</w:t>
            </w:r>
          </w:p>
        </w:tc>
        <w:tc>
          <w:tcPr>
            <w:tcW w:w="4045" w:type="dxa"/>
          </w:tcPr>
          <w:p w14:paraId="6C8E0CAF" w14:textId="77B68AD0" w:rsidR="006C4C61" w:rsidRPr="004F4616" w:rsidRDefault="006C4C61" w:rsidP="00DA76AC">
            <w:pPr>
              <w:spacing w:after="0"/>
              <w:rPr>
                <w:rFonts w:cstheme="minorHAnsi"/>
              </w:rPr>
            </w:pPr>
          </w:p>
        </w:tc>
      </w:tr>
      <w:tr w:rsidR="006C4C61" w:rsidRPr="004F4616" w14:paraId="3AD86D6A" w14:textId="77777777" w:rsidTr="00E415F4">
        <w:tc>
          <w:tcPr>
            <w:tcW w:w="805" w:type="dxa"/>
            <w:vMerge/>
          </w:tcPr>
          <w:p w14:paraId="58804DD5" w14:textId="77777777" w:rsidR="006C4C61" w:rsidRPr="004F4616" w:rsidRDefault="006C4C61" w:rsidP="00DA76AC">
            <w:pPr>
              <w:spacing w:after="0"/>
              <w:jc w:val="center"/>
              <w:rPr>
                <w:rFonts w:cstheme="minorHAnsi"/>
              </w:rPr>
            </w:pPr>
          </w:p>
        </w:tc>
        <w:tc>
          <w:tcPr>
            <w:tcW w:w="810" w:type="dxa"/>
          </w:tcPr>
          <w:p w14:paraId="4D36D06D" w14:textId="77777777" w:rsidR="006C4C61" w:rsidRPr="004F4616" w:rsidRDefault="006C4C61" w:rsidP="00DA76AC">
            <w:pPr>
              <w:spacing w:after="0"/>
              <w:rPr>
                <w:rFonts w:cstheme="minorHAnsi"/>
              </w:rPr>
            </w:pPr>
            <w:r>
              <w:rPr>
                <w:rFonts w:cstheme="minorHAnsi"/>
              </w:rPr>
              <w:t>9/2</w:t>
            </w:r>
          </w:p>
        </w:tc>
        <w:tc>
          <w:tcPr>
            <w:tcW w:w="990" w:type="dxa"/>
            <w:vMerge/>
          </w:tcPr>
          <w:p w14:paraId="4AE6BC97" w14:textId="20119642" w:rsidR="006C4C61" w:rsidRPr="004F4616" w:rsidRDefault="006C4C61" w:rsidP="00DA76AC">
            <w:pPr>
              <w:spacing w:after="0"/>
              <w:rPr>
                <w:rFonts w:cstheme="minorHAnsi"/>
              </w:rPr>
            </w:pPr>
          </w:p>
        </w:tc>
        <w:tc>
          <w:tcPr>
            <w:tcW w:w="3150" w:type="dxa"/>
          </w:tcPr>
          <w:p w14:paraId="48E8A0FA" w14:textId="7E2D52FE" w:rsidR="006C4C61" w:rsidRDefault="00594A7D" w:rsidP="00DA76AC">
            <w:pPr>
              <w:spacing w:after="0"/>
              <w:rPr>
                <w:rFonts w:cstheme="minorHAnsi"/>
              </w:rPr>
            </w:pPr>
            <w:proofErr w:type="spellStart"/>
            <w:r w:rsidRPr="00594A7D">
              <w:rPr>
                <w:rFonts w:cstheme="minorHAnsi"/>
              </w:rPr>
              <w:t>McCambridge</w:t>
            </w:r>
            <w:proofErr w:type="spellEnd"/>
            <w:r w:rsidRPr="00594A7D">
              <w:rPr>
                <w:rFonts w:cstheme="minorHAnsi"/>
              </w:rPr>
              <w:t xml:space="preserve">, R. &amp; </w:t>
            </w:r>
            <w:proofErr w:type="spellStart"/>
            <w:r w:rsidRPr="00594A7D">
              <w:rPr>
                <w:rFonts w:cstheme="minorHAnsi"/>
              </w:rPr>
              <w:t>Salamon</w:t>
            </w:r>
            <w:proofErr w:type="spellEnd"/>
            <w:r w:rsidRPr="00594A7D">
              <w:rPr>
                <w:rFonts w:cstheme="minorHAnsi"/>
              </w:rPr>
              <w:t xml:space="preserve">, L. (2003). </w:t>
            </w:r>
            <w:hyperlink r:id="rId11" w:history="1">
              <w:r w:rsidRPr="0016717C">
                <w:rPr>
                  <w:rStyle w:val="Hyperlink"/>
                  <w:rFonts w:cstheme="minorHAnsi"/>
                </w:rPr>
                <w:t>In, but not of, the Market: The Special Challenge of Nonprofit-ness</w:t>
              </w:r>
            </w:hyperlink>
            <w:r w:rsidRPr="00594A7D">
              <w:rPr>
                <w:rFonts w:cstheme="minorHAnsi"/>
              </w:rPr>
              <w:t>. Nonprofit Quarterly.</w:t>
            </w:r>
          </w:p>
          <w:p w14:paraId="10DDC247" w14:textId="40FB9DFE" w:rsidR="00594A7D" w:rsidRPr="004F4616" w:rsidRDefault="00594A7D" w:rsidP="00DA76AC">
            <w:pPr>
              <w:spacing w:after="0"/>
              <w:rPr>
                <w:rFonts w:cstheme="minorHAnsi"/>
              </w:rPr>
            </w:pPr>
            <w:r w:rsidRPr="00594A7D">
              <w:rPr>
                <w:rFonts w:cstheme="minorHAnsi"/>
              </w:rPr>
              <w:lastRenderedPageBreak/>
              <w:t xml:space="preserve">Jones, M. (2015). </w:t>
            </w:r>
            <w:hyperlink r:id="rId12" w:history="1">
              <w:r w:rsidRPr="0016717C">
                <w:rPr>
                  <w:rStyle w:val="Hyperlink"/>
                  <w:rFonts w:cstheme="minorHAnsi"/>
                </w:rPr>
                <w:t>Why the world still needs nonprofits</w:t>
              </w:r>
            </w:hyperlink>
            <w:r w:rsidRPr="00594A7D">
              <w:rPr>
                <w:rFonts w:cstheme="minorHAnsi"/>
              </w:rPr>
              <w:t xml:space="preserve">. </w:t>
            </w:r>
            <w:r w:rsidRPr="0016717C">
              <w:rPr>
                <w:rFonts w:cstheme="minorHAnsi"/>
                <w:i/>
                <w:iCs/>
              </w:rPr>
              <w:t>The Conversation</w:t>
            </w:r>
            <w:r w:rsidR="0016717C">
              <w:rPr>
                <w:rFonts w:cstheme="minorHAnsi"/>
              </w:rPr>
              <w:t>.</w:t>
            </w:r>
          </w:p>
        </w:tc>
        <w:tc>
          <w:tcPr>
            <w:tcW w:w="3150" w:type="dxa"/>
          </w:tcPr>
          <w:p w14:paraId="2672D3F8" w14:textId="35AE5B52" w:rsidR="006C4C61" w:rsidRPr="006A1951" w:rsidRDefault="006C4C61" w:rsidP="00DA76AC">
            <w:pPr>
              <w:spacing w:after="0"/>
              <w:rPr>
                <w:rFonts w:cstheme="minorHAnsi"/>
              </w:rPr>
            </w:pPr>
          </w:p>
        </w:tc>
        <w:tc>
          <w:tcPr>
            <w:tcW w:w="4045" w:type="dxa"/>
          </w:tcPr>
          <w:p w14:paraId="379DC697" w14:textId="64A10C06" w:rsidR="006C4C61" w:rsidRPr="00346F1D" w:rsidRDefault="001D7565" w:rsidP="00DA76AC">
            <w:pPr>
              <w:spacing w:after="0"/>
              <w:rPr>
                <w:rFonts w:cstheme="minorHAnsi"/>
              </w:rPr>
            </w:pPr>
            <w:r w:rsidRPr="003A4AFB">
              <w:rPr>
                <w:rFonts w:cstheme="minorHAnsi"/>
                <w:b/>
                <w:bCs/>
              </w:rPr>
              <w:t>Case study:</w:t>
            </w:r>
            <w:r>
              <w:rPr>
                <w:rFonts w:cstheme="minorHAnsi"/>
              </w:rPr>
              <w:t xml:space="preserve"> To Start or Aid an Existing Organization</w:t>
            </w:r>
          </w:p>
        </w:tc>
      </w:tr>
      <w:tr w:rsidR="00CE4E04" w:rsidRPr="004F4616" w14:paraId="50323FA5" w14:textId="77777777" w:rsidTr="00241141">
        <w:tc>
          <w:tcPr>
            <w:tcW w:w="805" w:type="dxa"/>
            <w:vMerge w:val="restart"/>
          </w:tcPr>
          <w:p w14:paraId="00B013DB" w14:textId="77777777" w:rsidR="00CE4E04" w:rsidRPr="004F4616" w:rsidRDefault="00CE4E04" w:rsidP="00DA76AC">
            <w:pPr>
              <w:spacing w:after="0"/>
              <w:jc w:val="center"/>
              <w:rPr>
                <w:rFonts w:cstheme="minorHAnsi"/>
              </w:rPr>
            </w:pPr>
            <w:r w:rsidRPr="004F4616">
              <w:rPr>
                <w:rFonts w:cstheme="minorHAnsi"/>
              </w:rPr>
              <w:t>Week 4</w:t>
            </w:r>
          </w:p>
        </w:tc>
        <w:tc>
          <w:tcPr>
            <w:tcW w:w="810" w:type="dxa"/>
          </w:tcPr>
          <w:p w14:paraId="7DF66643" w14:textId="77777777" w:rsidR="00CE4E04" w:rsidRPr="004F4616" w:rsidRDefault="00CE4E04" w:rsidP="00DA76AC">
            <w:pPr>
              <w:spacing w:after="0"/>
              <w:rPr>
                <w:rFonts w:cstheme="minorHAnsi"/>
              </w:rPr>
            </w:pPr>
            <w:r w:rsidRPr="004F4616">
              <w:rPr>
                <w:rFonts w:cstheme="minorHAnsi"/>
              </w:rPr>
              <w:t>9/</w:t>
            </w:r>
            <w:r>
              <w:rPr>
                <w:rFonts w:cstheme="minorHAnsi"/>
              </w:rPr>
              <w:t>7</w:t>
            </w:r>
          </w:p>
        </w:tc>
        <w:tc>
          <w:tcPr>
            <w:tcW w:w="11335" w:type="dxa"/>
            <w:gridSpan w:val="4"/>
          </w:tcPr>
          <w:p w14:paraId="3152CA93" w14:textId="73735AC9" w:rsidR="00CE4E04" w:rsidRPr="004F4616" w:rsidRDefault="00CE4E04" w:rsidP="00DA76AC">
            <w:pPr>
              <w:spacing w:after="0"/>
            </w:pPr>
            <w:r w:rsidRPr="000F60E2">
              <w:t>Service-learning projects presentation</w:t>
            </w:r>
            <w:r w:rsidR="00DC4F6C" w:rsidRPr="000F60E2">
              <w:t>:</w:t>
            </w:r>
            <w:r w:rsidR="00DC4F6C">
              <w:t xml:space="preserve"> Raven Harris (The Curtis House); </w:t>
            </w:r>
            <w:r w:rsidR="000F60E2">
              <w:t>Michelle Schultz (Baby Steps); Regina Meadows (Circles Opelika)</w:t>
            </w:r>
            <w:r w:rsidR="005B2DCE">
              <w:t>; Katie Murrah (AO Discover)</w:t>
            </w:r>
          </w:p>
        </w:tc>
      </w:tr>
      <w:tr w:rsidR="00CE4E04" w:rsidRPr="004F4616" w14:paraId="698897A7" w14:textId="77777777" w:rsidTr="00241141">
        <w:tc>
          <w:tcPr>
            <w:tcW w:w="805" w:type="dxa"/>
            <w:vMerge/>
          </w:tcPr>
          <w:p w14:paraId="32C07967" w14:textId="77777777" w:rsidR="00CE4E04" w:rsidRPr="004F4616" w:rsidRDefault="00CE4E04" w:rsidP="00DA76AC">
            <w:pPr>
              <w:spacing w:after="0"/>
              <w:jc w:val="center"/>
              <w:rPr>
                <w:rFonts w:cstheme="minorHAnsi"/>
              </w:rPr>
            </w:pPr>
          </w:p>
        </w:tc>
        <w:tc>
          <w:tcPr>
            <w:tcW w:w="810" w:type="dxa"/>
          </w:tcPr>
          <w:p w14:paraId="1CFE43CE" w14:textId="77777777" w:rsidR="00CE4E04" w:rsidRPr="00D766AA" w:rsidRDefault="00CE4E04" w:rsidP="00DA76AC">
            <w:pPr>
              <w:spacing w:after="0"/>
              <w:rPr>
                <w:rFonts w:cstheme="minorHAnsi"/>
                <w:highlight w:val="yellow"/>
              </w:rPr>
            </w:pPr>
            <w:r w:rsidRPr="00B00DAF">
              <w:rPr>
                <w:rFonts w:cstheme="minorHAnsi"/>
              </w:rPr>
              <w:t>9/9</w:t>
            </w:r>
          </w:p>
        </w:tc>
        <w:tc>
          <w:tcPr>
            <w:tcW w:w="11335" w:type="dxa"/>
            <w:gridSpan w:val="4"/>
          </w:tcPr>
          <w:p w14:paraId="3C516D62" w14:textId="77777777" w:rsidR="00CE4E04" w:rsidRDefault="00CE4E04" w:rsidP="00DA76AC">
            <w:pPr>
              <w:spacing w:after="0"/>
              <w:rPr>
                <w:rFonts w:cstheme="minorHAnsi"/>
              </w:rPr>
            </w:pPr>
            <w:r w:rsidRPr="00CE4E04">
              <w:rPr>
                <w:rFonts w:cstheme="minorHAnsi"/>
              </w:rPr>
              <w:t>Leadership Compass: Appreciating Diverse Work Styles</w:t>
            </w:r>
          </w:p>
          <w:p w14:paraId="1C22439D" w14:textId="0F04E53F" w:rsidR="00C022B1" w:rsidRPr="00CE4E04" w:rsidRDefault="00C022B1" w:rsidP="00DA76AC">
            <w:pPr>
              <w:spacing w:after="0"/>
              <w:rPr>
                <w:rFonts w:cstheme="minorHAnsi"/>
                <w:highlight w:val="yellow"/>
              </w:rPr>
            </w:pPr>
            <w:r w:rsidRPr="00DA76AC">
              <w:rPr>
                <w:rFonts w:cstheme="minorHAnsi"/>
                <w:b/>
                <w:bCs/>
              </w:rPr>
              <w:t>Assignment due:</w:t>
            </w:r>
            <w:r>
              <w:rPr>
                <w:rFonts w:cstheme="minorHAnsi"/>
              </w:rPr>
              <w:t xml:space="preserve"> Philanthropic autobiography</w:t>
            </w:r>
          </w:p>
        </w:tc>
      </w:tr>
      <w:tr w:rsidR="00AE56EA" w:rsidRPr="004F4616" w14:paraId="16BC39FB" w14:textId="77777777" w:rsidTr="00D40EEE">
        <w:tc>
          <w:tcPr>
            <w:tcW w:w="12950" w:type="dxa"/>
            <w:gridSpan w:val="6"/>
          </w:tcPr>
          <w:p w14:paraId="69E1CE82" w14:textId="28E49BFC" w:rsidR="00AE56EA" w:rsidRPr="00D766AA" w:rsidRDefault="00AE56EA" w:rsidP="00DA76AC">
            <w:pPr>
              <w:spacing w:after="0"/>
              <w:rPr>
                <w:rFonts w:cstheme="minorHAnsi"/>
                <w:b/>
                <w:bCs/>
                <w:highlight w:val="yellow"/>
              </w:rPr>
            </w:pPr>
            <w:r w:rsidRPr="00AE56EA">
              <w:rPr>
                <w:rFonts w:cstheme="minorHAnsi"/>
                <w:b/>
                <w:bCs/>
              </w:rPr>
              <w:t>Module 2</w:t>
            </w:r>
            <w:r w:rsidR="00DC6F7D">
              <w:rPr>
                <w:rFonts w:cstheme="minorHAnsi"/>
                <w:b/>
                <w:bCs/>
              </w:rPr>
              <w:t xml:space="preserve"> – </w:t>
            </w:r>
            <w:r w:rsidRPr="00AE56EA">
              <w:rPr>
                <w:rFonts w:cstheme="minorHAnsi"/>
                <w:b/>
                <w:bCs/>
              </w:rPr>
              <w:t>Roles in the Nonprofit World</w:t>
            </w:r>
          </w:p>
        </w:tc>
      </w:tr>
      <w:tr w:rsidR="00855422" w:rsidRPr="004F4616" w14:paraId="75298E40" w14:textId="77777777" w:rsidTr="00762B6D">
        <w:tc>
          <w:tcPr>
            <w:tcW w:w="805" w:type="dxa"/>
            <w:vMerge w:val="restart"/>
          </w:tcPr>
          <w:p w14:paraId="382ED5A8" w14:textId="77777777" w:rsidR="00855422" w:rsidRPr="004F4616" w:rsidRDefault="00855422" w:rsidP="00DA76AC">
            <w:pPr>
              <w:spacing w:after="0"/>
              <w:jc w:val="center"/>
              <w:rPr>
                <w:rFonts w:cstheme="minorHAnsi"/>
              </w:rPr>
            </w:pPr>
            <w:r w:rsidRPr="004F4616">
              <w:rPr>
                <w:rFonts w:cstheme="minorHAnsi"/>
              </w:rPr>
              <w:t>Week 5</w:t>
            </w:r>
          </w:p>
        </w:tc>
        <w:tc>
          <w:tcPr>
            <w:tcW w:w="810" w:type="dxa"/>
          </w:tcPr>
          <w:p w14:paraId="77C76EC3" w14:textId="77777777" w:rsidR="00855422" w:rsidRPr="004F4616" w:rsidRDefault="00855422" w:rsidP="00DA76AC">
            <w:pPr>
              <w:spacing w:after="0"/>
              <w:rPr>
                <w:rFonts w:cstheme="minorHAnsi"/>
              </w:rPr>
            </w:pPr>
            <w:r w:rsidRPr="004F4616">
              <w:rPr>
                <w:rFonts w:cstheme="minorHAnsi"/>
              </w:rPr>
              <w:t>9/1</w:t>
            </w:r>
            <w:r>
              <w:rPr>
                <w:rFonts w:cstheme="minorHAnsi"/>
              </w:rPr>
              <w:t>4</w:t>
            </w:r>
          </w:p>
        </w:tc>
        <w:tc>
          <w:tcPr>
            <w:tcW w:w="11335" w:type="dxa"/>
            <w:gridSpan w:val="4"/>
            <w:vAlign w:val="center"/>
          </w:tcPr>
          <w:p w14:paraId="36A50E7C" w14:textId="4C0AD3AB" w:rsidR="00855422" w:rsidRPr="006A3CBA" w:rsidRDefault="00DC4F6C" w:rsidP="00DA76AC">
            <w:pPr>
              <w:spacing w:after="0"/>
              <w:rPr>
                <w:rFonts w:cstheme="minorHAnsi"/>
                <w:b/>
                <w:bCs/>
              </w:rPr>
            </w:pPr>
            <w:r>
              <w:rPr>
                <w:rFonts w:cstheme="minorHAnsi"/>
                <w:b/>
                <w:bCs/>
              </w:rPr>
              <w:t>Exam</w:t>
            </w:r>
            <w:r w:rsidR="00855422" w:rsidRPr="006A3CBA">
              <w:rPr>
                <w:rFonts w:cstheme="minorHAnsi"/>
                <w:b/>
                <w:bCs/>
              </w:rPr>
              <w:t xml:space="preserve"> #1</w:t>
            </w:r>
          </w:p>
        </w:tc>
      </w:tr>
      <w:tr w:rsidR="00EA040A" w:rsidRPr="004F4616" w14:paraId="01E7D353" w14:textId="77777777" w:rsidTr="00E415F4">
        <w:tc>
          <w:tcPr>
            <w:tcW w:w="805" w:type="dxa"/>
            <w:vMerge/>
          </w:tcPr>
          <w:p w14:paraId="564319F8" w14:textId="77777777" w:rsidR="00EA040A" w:rsidRPr="004F4616" w:rsidRDefault="00EA040A" w:rsidP="00DA76AC">
            <w:pPr>
              <w:spacing w:after="0"/>
              <w:jc w:val="center"/>
              <w:rPr>
                <w:rFonts w:cstheme="minorHAnsi"/>
              </w:rPr>
            </w:pPr>
          </w:p>
        </w:tc>
        <w:tc>
          <w:tcPr>
            <w:tcW w:w="810" w:type="dxa"/>
          </w:tcPr>
          <w:p w14:paraId="67482E83" w14:textId="77777777" w:rsidR="00EA040A" w:rsidRPr="004F4616" w:rsidRDefault="00EA040A" w:rsidP="00DA76AC">
            <w:pPr>
              <w:spacing w:after="0"/>
              <w:rPr>
                <w:rFonts w:cstheme="minorHAnsi"/>
              </w:rPr>
            </w:pPr>
            <w:r w:rsidRPr="004F4616">
              <w:rPr>
                <w:rFonts w:cstheme="minorHAnsi"/>
              </w:rPr>
              <w:t>9/1</w:t>
            </w:r>
            <w:r>
              <w:rPr>
                <w:rFonts w:cstheme="minorHAnsi"/>
              </w:rPr>
              <w:t>6</w:t>
            </w:r>
          </w:p>
        </w:tc>
        <w:tc>
          <w:tcPr>
            <w:tcW w:w="990" w:type="dxa"/>
          </w:tcPr>
          <w:p w14:paraId="306D6C4F" w14:textId="5DAF437D" w:rsidR="00EA040A" w:rsidRPr="004F4616" w:rsidRDefault="00855422" w:rsidP="00DA76AC">
            <w:pPr>
              <w:spacing w:after="0"/>
              <w:rPr>
                <w:rFonts w:cstheme="minorHAnsi"/>
              </w:rPr>
            </w:pPr>
            <w:r w:rsidRPr="00855422">
              <w:rPr>
                <w:rFonts w:cstheme="minorHAnsi"/>
              </w:rPr>
              <w:t>The Lobbyist &amp; the Advocate</w:t>
            </w:r>
          </w:p>
        </w:tc>
        <w:tc>
          <w:tcPr>
            <w:tcW w:w="3150" w:type="dxa"/>
          </w:tcPr>
          <w:p w14:paraId="218E7686" w14:textId="77777777" w:rsidR="00855422" w:rsidRDefault="00855422" w:rsidP="00DA76AC">
            <w:pPr>
              <w:spacing w:after="0"/>
              <w:rPr>
                <w:rFonts w:cstheme="minorHAnsi"/>
              </w:rPr>
            </w:pPr>
            <w:proofErr w:type="spellStart"/>
            <w:r>
              <w:rPr>
                <w:rFonts w:cstheme="minorHAnsi"/>
              </w:rPr>
              <w:t>LeRoux</w:t>
            </w:r>
            <w:proofErr w:type="spellEnd"/>
            <w:r>
              <w:rPr>
                <w:rFonts w:cstheme="minorHAnsi"/>
              </w:rPr>
              <w:t xml:space="preserve"> &amp; Feeney, Chapter 7</w:t>
            </w:r>
          </w:p>
          <w:p w14:paraId="70E0D1A3" w14:textId="5452A315" w:rsidR="00EA040A" w:rsidRPr="004F4616" w:rsidRDefault="00EA040A" w:rsidP="00DA76AC">
            <w:pPr>
              <w:spacing w:after="0"/>
              <w:rPr>
                <w:rFonts w:cstheme="minorHAnsi"/>
              </w:rPr>
            </w:pPr>
          </w:p>
        </w:tc>
        <w:tc>
          <w:tcPr>
            <w:tcW w:w="3150" w:type="dxa"/>
          </w:tcPr>
          <w:p w14:paraId="7BD74A3B" w14:textId="77777777" w:rsidR="00EA040A" w:rsidRPr="004F4616" w:rsidRDefault="00EA040A" w:rsidP="00DA76AC">
            <w:pPr>
              <w:spacing w:after="0"/>
              <w:rPr>
                <w:rFonts w:cstheme="minorHAnsi"/>
              </w:rPr>
            </w:pPr>
          </w:p>
        </w:tc>
        <w:tc>
          <w:tcPr>
            <w:tcW w:w="4045" w:type="dxa"/>
          </w:tcPr>
          <w:p w14:paraId="1C63E83A" w14:textId="77777777" w:rsidR="00EA040A" w:rsidRDefault="006F78E8" w:rsidP="00DA76AC">
            <w:pPr>
              <w:spacing w:after="0"/>
              <w:rPr>
                <w:rFonts w:cstheme="minorHAnsi"/>
              </w:rPr>
            </w:pPr>
            <w:r w:rsidRPr="003A4AFB">
              <w:rPr>
                <w:rFonts w:cstheme="minorHAnsi"/>
                <w:b/>
                <w:bCs/>
              </w:rPr>
              <w:t>Exercise</w:t>
            </w:r>
            <w:r>
              <w:rPr>
                <w:rFonts w:cstheme="minorHAnsi"/>
              </w:rPr>
              <w:t>:</w:t>
            </w:r>
            <w:r w:rsidRPr="006F78E8">
              <w:rPr>
                <w:rFonts w:cstheme="minorHAnsi"/>
              </w:rPr>
              <w:t xml:space="preserve"> Social issue cycle</w:t>
            </w:r>
            <w:r>
              <w:rPr>
                <w:rFonts w:cstheme="minorHAnsi"/>
              </w:rPr>
              <w:t xml:space="preserve"> </w:t>
            </w:r>
          </w:p>
          <w:p w14:paraId="668B1D16" w14:textId="43B06D7F" w:rsidR="000C2FDF" w:rsidRPr="004F4616" w:rsidRDefault="000C2FDF" w:rsidP="00DA76AC">
            <w:pPr>
              <w:spacing w:after="0"/>
              <w:rPr>
                <w:rFonts w:cstheme="minorHAnsi"/>
              </w:rPr>
            </w:pPr>
            <w:r w:rsidRPr="000C2FDF">
              <w:rPr>
                <w:rFonts w:cstheme="minorHAnsi"/>
                <w:b/>
                <w:bCs/>
              </w:rPr>
              <w:t>Guest speaker:</w:t>
            </w:r>
            <w:r w:rsidRPr="000C2FDF">
              <w:rPr>
                <w:rFonts w:cstheme="minorHAnsi"/>
              </w:rPr>
              <w:t xml:space="preserve"> Rape Counselors of East Alabama</w:t>
            </w:r>
          </w:p>
        </w:tc>
      </w:tr>
      <w:tr w:rsidR="00EA040A" w:rsidRPr="004F4616" w14:paraId="4C049C94" w14:textId="77777777" w:rsidTr="00E415F4">
        <w:tc>
          <w:tcPr>
            <w:tcW w:w="805" w:type="dxa"/>
            <w:vMerge w:val="restart"/>
          </w:tcPr>
          <w:p w14:paraId="3C05B783" w14:textId="77777777" w:rsidR="00EA040A" w:rsidRPr="004F4616" w:rsidRDefault="00EA040A" w:rsidP="00DA76AC">
            <w:pPr>
              <w:spacing w:after="0"/>
              <w:jc w:val="center"/>
              <w:rPr>
                <w:rFonts w:cstheme="minorHAnsi"/>
              </w:rPr>
            </w:pPr>
            <w:r w:rsidRPr="004F4616">
              <w:rPr>
                <w:rFonts w:cstheme="minorHAnsi"/>
              </w:rPr>
              <w:t>Week 6</w:t>
            </w:r>
          </w:p>
        </w:tc>
        <w:tc>
          <w:tcPr>
            <w:tcW w:w="810" w:type="dxa"/>
          </w:tcPr>
          <w:p w14:paraId="425DEA97" w14:textId="77777777" w:rsidR="00EA040A" w:rsidRPr="004F4616" w:rsidRDefault="00EA040A" w:rsidP="00DA76AC">
            <w:pPr>
              <w:spacing w:after="0"/>
              <w:rPr>
                <w:rFonts w:cstheme="minorHAnsi"/>
              </w:rPr>
            </w:pPr>
            <w:r w:rsidRPr="004F4616">
              <w:rPr>
                <w:rFonts w:cstheme="minorHAnsi"/>
              </w:rPr>
              <w:t>9/2</w:t>
            </w:r>
            <w:r>
              <w:rPr>
                <w:rFonts w:cstheme="minorHAnsi"/>
              </w:rPr>
              <w:t>1</w:t>
            </w:r>
          </w:p>
        </w:tc>
        <w:tc>
          <w:tcPr>
            <w:tcW w:w="990" w:type="dxa"/>
            <w:vMerge w:val="restart"/>
            <w:vAlign w:val="center"/>
          </w:tcPr>
          <w:p w14:paraId="27FD8011" w14:textId="6C278C88" w:rsidR="00EA040A" w:rsidRPr="004F4616" w:rsidRDefault="00EA040A" w:rsidP="00DA76AC">
            <w:pPr>
              <w:spacing w:after="0"/>
              <w:jc w:val="center"/>
              <w:rPr>
                <w:rFonts w:cstheme="minorHAnsi"/>
              </w:rPr>
            </w:pPr>
            <w:r>
              <w:rPr>
                <w:rFonts w:cstheme="minorHAnsi"/>
              </w:rPr>
              <w:t>The Activist</w:t>
            </w:r>
          </w:p>
        </w:tc>
        <w:tc>
          <w:tcPr>
            <w:tcW w:w="3150" w:type="dxa"/>
          </w:tcPr>
          <w:p w14:paraId="4326E484" w14:textId="6E3CE58A" w:rsidR="00EA040A" w:rsidRPr="004F4616" w:rsidRDefault="003A520C" w:rsidP="00DA76AC">
            <w:pPr>
              <w:spacing w:after="0"/>
              <w:rPr>
                <w:rFonts w:cstheme="minorHAnsi"/>
              </w:rPr>
            </w:pPr>
            <w:r>
              <w:rPr>
                <w:rFonts w:cstheme="minorHAnsi"/>
              </w:rPr>
              <w:t>Payton &amp; Moody, Chapter 4</w:t>
            </w:r>
          </w:p>
        </w:tc>
        <w:tc>
          <w:tcPr>
            <w:tcW w:w="3150" w:type="dxa"/>
          </w:tcPr>
          <w:p w14:paraId="46197BB6" w14:textId="569BE6A2" w:rsidR="00EA040A" w:rsidRPr="004F4616" w:rsidRDefault="00DF073E" w:rsidP="00DA76AC">
            <w:pPr>
              <w:spacing w:after="0"/>
              <w:rPr>
                <w:rFonts w:cstheme="minorHAnsi"/>
              </w:rPr>
            </w:pPr>
            <w:r w:rsidRPr="00940CD9">
              <w:rPr>
                <w:rFonts w:cstheme="minorHAnsi"/>
                <w:i/>
                <w:iCs/>
              </w:rPr>
              <w:t>Question</w:t>
            </w:r>
            <w:r w:rsidR="00940CD9" w:rsidRPr="00940CD9">
              <w:rPr>
                <w:rFonts w:cstheme="minorHAnsi"/>
                <w:i/>
                <w:iCs/>
              </w:rPr>
              <w:t xml:space="preserve"> 4:</w:t>
            </w:r>
            <w:r w:rsidR="00940CD9">
              <w:rPr>
                <w:rFonts w:cstheme="minorHAnsi"/>
                <w:b/>
                <w:bCs/>
              </w:rPr>
              <w:t xml:space="preserve"> </w:t>
            </w:r>
            <w:r w:rsidR="00940CD9" w:rsidRPr="00940CD9">
              <w:rPr>
                <w:rFonts w:cstheme="minorHAnsi"/>
              </w:rPr>
              <w:t>What issues in contemporary American society warrant the most attention from nonprofits? What is the role of nonprofits in addressing this issue?</w:t>
            </w:r>
            <w:r w:rsidR="00940CD9" w:rsidRPr="00940CD9">
              <w:rPr>
                <w:rFonts w:cstheme="minorHAnsi"/>
                <w:b/>
                <w:bCs/>
              </w:rPr>
              <w:t xml:space="preserve">  </w:t>
            </w:r>
          </w:p>
        </w:tc>
        <w:tc>
          <w:tcPr>
            <w:tcW w:w="4045" w:type="dxa"/>
          </w:tcPr>
          <w:p w14:paraId="3790E096" w14:textId="3FBD9D50" w:rsidR="00EA040A" w:rsidRPr="004F4616" w:rsidRDefault="003A520C" w:rsidP="00DA76AC">
            <w:pPr>
              <w:spacing w:after="0"/>
              <w:rPr>
                <w:rFonts w:cstheme="minorHAnsi"/>
              </w:rPr>
            </w:pPr>
            <w:r w:rsidRPr="00117188">
              <w:rPr>
                <w:rFonts w:cstheme="minorHAnsi"/>
                <w:b/>
                <w:bCs/>
              </w:rPr>
              <w:t xml:space="preserve">Activity: </w:t>
            </w:r>
            <w:r w:rsidRPr="003A4AFB">
              <w:rPr>
                <w:rFonts w:cstheme="minorHAnsi"/>
              </w:rPr>
              <w:t>Imagining a Better World</w:t>
            </w:r>
          </w:p>
        </w:tc>
      </w:tr>
      <w:tr w:rsidR="00EA040A" w:rsidRPr="004F4616" w14:paraId="0CAF0B20" w14:textId="77777777" w:rsidTr="00E415F4">
        <w:tc>
          <w:tcPr>
            <w:tcW w:w="805" w:type="dxa"/>
            <w:vMerge/>
          </w:tcPr>
          <w:p w14:paraId="67F7BB8C" w14:textId="77777777" w:rsidR="00EA040A" w:rsidRPr="004F4616" w:rsidRDefault="00EA040A" w:rsidP="00DA76AC">
            <w:pPr>
              <w:spacing w:after="0"/>
              <w:jc w:val="center"/>
              <w:rPr>
                <w:rFonts w:cstheme="minorHAnsi"/>
              </w:rPr>
            </w:pPr>
          </w:p>
        </w:tc>
        <w:tc>
          <w:tcPr>
            <w:tcW w:w="810" w:type="dxa"/>
          </w:tcPr>
          <w:p w14:paraId="25E2C546" w14:textId="77777777" w:rsidR="00EA040A" w:rsidRPr="004F4616" w:rsidRDefault="00EA040A" w:rsidP="00DA76AC">
            <w:pPr>
              <w:spacing w:after="0"/>
              <w:rPr>
                <w:rFonts w:cstheme="minorHAnsi"/>
              </w:rPr>
            </w:pPr>
            <w:r>
              <w:rPr>
                <w:rFonts w:cstheme="minorHAnsi"/>
              </w:rPr>
              <w:t>9/23</w:t>
            </w:r>
          </w:p>
        </w:tc>
        <w:tc>
          <w:tcPr>
            <w:tcW w:w="990" w:type="dxa"/>
            <w:vMerge/>
          </w:tcPr>
          <w:p w14:paraId="706DC59B" w14:textId="77777777" w:rsidR="00EA040A" w:rsidRPr="00377B62" w:rsidRDefault="00EA040A" w:rsidP="00DA76AC">
            <w:pPr>
              <w:spacing w:after="0"/>
              <w:rPr>
                <w:rFonts w:cstheme="minorHAnsi"/>
                <w:b/>
                <w:bCs/>
              </w:rPr>
            </w:pPr>
          </w:p>
        </w:tc>
        <w:tc>
          <w:tcPr>
            <w:tcW w:w="3150" w:type="dxa"/>
          </w:tcPr>
          <w:p w14:paraId="233617BF" w14:textId="30CED538" w:rsidR="00EA040A" w:rsidRDefault="00E317B2" w:rsidP="00DA76AC">
            <w:pPr>
              <w:spacing w:after="0"/>
              <w:rPr>
                <w:rFonts w:cstheme="minorHAnsi"/>
              </w:rPr>
            </w:pPr>
            <w:r>
              <w:rPr>
                <w:rFonts w:cstheme="minorHAnsi"/>
              </w:rPr>
              <w:t xml:space="preserve">UNICEF, </w:t>
            </w:r>
            <w:hyperlink r:id="rId13" w:history="1">
              <w:r w:rsidR="00DD5A81" w:rsidRPr="00E317B2">
                <w:rPr>
                  <w:rStyle w:val="Hyperlink"/>
                  <w:rFonts w:cstheme="minorHAnsi"/>
                </w:rPr>
                <w:t>Digital civic engagement by young people</w:t>
              </w:r>
            </w:hyperlink>
            <w:r>
              <w:rPr>
                <w:rFonts w:cstheme="minorHAnsi"/>
              </w:rPr>
              <w:t>.</w:t>
            </w:r>
          </w:p>
          <w:p w14:paraId="3E42B8DB" w14:textId="70431334" w:rsidR="00DD5A81" w:rsidRPr="008C2A0A" w:rsidRDefault="00DD5A81" w:rsidP="00DA76AC">
            <w:pPr>
              <w:spacing w:after="0"/>
              <w:rPr>
                <w:rFonts w:cstheme="minorHAnsi"/>
              </w:rPr>
            </w:pPr>
            <w:r>
              <w:rPr>
                <w:rFonts w:cstheme="minorHAnsi"/>
              </w:rPr>
              <w:t>Adler &amp; Goggin (2005), only pp. 237-240</w:t>
            </w:r>
          </w:p>
        </w:tc>
        <w:tc>
          <w:tcPr>
            <w:tcW w:w="3150" w:type="dxa"/>
          </w:tcPr>
          <w:p w14:paraId="20BA729E" w14:textId="541C71AD" w:rsidR="00EA040A" w:rsidRPr="00377B62" w:rsidRDefault="00EA040A" w:rsidP="00DA76AC">
            <w:pPr>
              <w:spacing w:after="0"/>
              <w:rPr>
                <w:rFonts w:cstheme="minorHAnsi"/>
                <w:b/>
                <w:bCs/>
              </w:rPr>
            </w:pPr>
          </w:p>
        </w:tc>
        <w:tc>
          <w:tcPr>
            <w:tcW w:w="4045" w:type="dxa"/>
          </w:tcPr>
          <w:p w14:paraId="0E25E901" w14:textId="451663F4" w:rsidR="00F11704" w:rsidRDefault="00F11704" w:rsidP="00DA76AC">
            <w:pPr>
              <w:spacing w:after="0"/>
              <w:rPr>
                <w:rFonts w:cstheme="minorHAnsi"/>
                <w:b/>
                <w:bCs/>
              </w:rPr>
            </w:pPr>
            <w:r>
              <w:rPr>
                <w:rFonts w:cstheme="minorHAnsi"/>
                <w:b/>
                <w:bCs/>
              </w:rPr>
              <w:t xml:space="preserve">Class facilitated by Ms. Branyon. </w:t>
            </w:r>
          </w:p>
          <w:p w14:paraId="07B6D8FD" w14:textId="7267AB5C" w:rsidR="00EA040A" w:rsidRPr="00377B62" w:rsidRDefault="00B94034" w:rsidP="00DA76AC">
            <w:pPr>
              <w:spacing w:after="0"/>
              <w:rPr>
                <w:rFonts w:cstheme="minorHAnsi"/>
                <w:b/>
                <w:bCs/>
              </w:rPr>
            </w:pPr>
            <w:r w:rsidRPr="00B94034">
              <w:rPr>
                <w:rFonts w:cstheme="minorHAnsi"/>
                <w:b/>
                <w:bCs/>
              </w:rPr>
              <w:t xml:space="preserve">Activity: </w:t>
            </w:r>
            <w:r w:rsidR="00DF073E" w:rsidRPr="00DF073E">
              <w:rPr>
                <w:rFonts w:cstheme="minorHAnsi"/>
              </w:rPr>
              <w:t>In class civic engagement interviews</w:t>
            </w:r>
          </w:p>
        </w:tc>
      </w:tr>
      <w:tr w:rsidR="00EA040A" w:rsidRPr="004F4616" w14:paraId="504F4144" w14:textId="77777777" w:rsidTr="00E415F4">
        <w:trPr>
          <w:trHeight w:val="530"/>
        </w:trPr>
        <w:tc>
          <w:tcPr>
            <w:tcW w:w="805" w:type="dxa"/>
            <w:vMerge w:val="restart"/>
          </w:tcPr>
          <w:p w14:paraId="324A7A5B" w14:textId="77777777" w:rsidR="00EA040A" w:rsidRPr="004F4616" w:rsidRDefault="00EA040A" w:rsidP="00DA76AC">
            <w:pPr>
              <w:spacing w:after="0"/>
              <w:jc w:val="center"/>
              <w:rPr>
                <w:rFonts w:cstheme="minorHAnsi"/>
              </w:rPr>
            </w:pPr>
            <w:r w:rsidRPr="004F4616">
              <w:rPr>
                <w:rFonts w:cstheme="minorHAnsi"/>
              </w:rPr>
              <w:t>Week 7</w:t>
            </w:r>
          </w:p>
        </w:tc>
        <w:tc>
          <w:tcPr>
            <w:tcW w:w="810" w:type="dxa"/>
          </w:tcPr>
          <w:p w14:paraId="6E44C395" w14:textId="77777777" w:rsidR="00EA040A" w:rsidRPr="004F4616" w:rsidRDefault="00EA040A" w:rsidP="00DA76AC">
            <w:pPr>
              <w:spacing w:after="0"/>
              <w:rPr>
                <w:rFonts w:cstheme="minorHAnsi"/>
              </w:rPr>
            </w:pPr>
            <w:r w:rsidRPr="004F4616">
              <w:rPr>
                <w:rFonts w:cstheme="minorHAnsi"/>
              </w:rPr>
              <w:t>9/2</w:t>
            </w:r>
            <w:r>
              <w:rPr>
                <w:rFonts w:cstheme="minorHAnsi"/>
              </w:rPr>
              <w:t>8</w:t>
            </w:r>
          </w:p>
        </w:tc>
        <w:tc>
          <w:tcPr>
            <w:tcW w:w="990" w:type="dxa"/>
            <w:vMerge w:val="restart"/>
            <w:vAlign w:val="center"/>
          </w:tcPr>
          <w:p w14:paraId="5F1012C1" w14:textId="1008A16E" w:rsidR="00EA040A" w:rsidRPr="004F4616" w:rsidRDefault="008C2A0A" w:rsidP="00DA76AC">
            <w:pPr>
              <w:spacing w:after="0"/>
              <w:jc w:val="center"/>
              <w:rPr>
                <w:rFonts w:cstheme="minorHAnsi"/>
              </w:rPr>
            </w:pPr>
            <w:r>
              <w:rPr>
                <w:rFonts w:cstheme="minorHAnsi"/>
              </w:rPr>
              <w:t>The Volunteer</w:t>
            </w:r>
            <w:r w:rsidRPr="00C66454">
              <w:rPr>
                <w:rFonts w:cstheme="minorHAnsi"/>
              </w:rPr>
              <w:t xml:space="preserve"> </w:t>
            </w:r>
          </w:p>
        </w:tc>
        <w:tc>
          <w:tcPr>
            <w:tcW w:w="3150" w:type="dxa"/>
          </w:tcPr>
          <w:p w14:paraId="06AC580C" w14:textId="651EEEF4" w:rsidR="00EA040A" w:rsidRPr="004F4616" w:rsidRDefault="00EB0A6F" w:rsidP="00DA76AC">
            <w:pPr>
              <w:spacing w:after="0"/>
              <w:rPr>
                <w:rFonts w:cstheme="minorHAnsi"/>
              </w:rPr>
            </w:pPr>
            <w:proofErr w:type="spellStart"/>
            <w:r w:rsidRPr="00EB0A6F">
              <w:rPr>
                <w:rFonts w:cstheme="minorHAnsi"/>
              </w:rPr>
              <w:t>LeRoux</w:t>
            </w:r>
            <w:proofErr w:type="spellEnd"/>
            <w:r w:rsidRPr="00EB0A6F">
              <w:rPr>
                <w:rFonts w:cstheme="minorHAnsi"/>
              </w:rPr>
              <w:t xml:space="preserve"> &amp; Feeney,</w:t>
            </w:r>
            <w:r>
              <w:rPr>
                <w:rFonts w:cstheme="minorHAnsi"/>
              </w:rPr>
              <w:t xml:space="preserve"> Chapter 5 </w:t>
            </w:r>
          </w:p>
        </w:tc>
        <w:tc>
          <w:tcPr>
            <w:tcW w:w="3150" w:type="dxa"/>
          </w:tcPr>
          <w:p w14:paraId="1CBA8759" w14:textId="77F32343" w:rsidR="00EA040A" w:rsidRPr="004F4616" w:rsidRDefault="00EA040A" w:rsidP="00DA76AC">
            <w:pPr>
              <w:spacing w:after="0"/>
              <w:rPr>
                <w:rFonts w:cstheme="minorHAnsi"/>
              </w:rPr>
            </w:pPr>
          </w:p>
        </w:tc>
        <w:tc>
          <w:tcPr>
            <w:tcW w:w="4045" w:type="dxa"/>
          </w:tcPr>
          <w:p w14:paraId="3AE723A5" w14:textId="168EF8C3" w:rsidR="00EA040A" w:rsidRPr="004F4616" w:rsidRDefault="00B94034" w:rsidP="00DA76AC">
            <w:pPr>
              <w:spacing w:after="0"/>
              <w:rPr>
                <w:rFonts w:cstheme="minorHAnsi"/>
              </w:rPr>
            </w:pPr>
            <w:r w:rsidRPr="00B94034">
              <w:rPr>
                <w:rFonts w:cstheme="minorHAnsi"/>
                <w:b/>
                <w:bCs/>
              </w:rPr>
              <w:t xml:space="preserve">Video analysis: </w:t>
            </w:r>
            <w:proofErr w:type="spellStart"/>
            <w:r w:rsidRPr="00B94034">
              <w:rPr>
                <w:rFonts w:cstheme="minorHAnsi"/>
              </w:rPr>
              <w:t>TedTalk</w:t>
            </w:r>
            <w:proofErr w:type="spellEnd"/>
            <w:r w:rsidRPr="00B94034">
              <w:rPr>
                <w:rFonts w:cstheme="minorHAnsi"/>
              </w:rPr>
              <w:t xml:space="preserve">, </w:t>
            </w:r>
            <w:hyperlink r:id="rId14" w:history="1">
              <w:r w:rsidRPr="00B94034">
                <w:rPr>
                  <w:rStyle w:val="Hyperlink"/>
                  <w:rFonts w:cstheme="minorHAnsi"/>
                </w:rPr>
                <w:t>Getting more than we give – realities of volunteerism</w:t>
              </w:r>
            </w:hyperlink>
          </w:p>
        </w:tc>
      </w:tr>
      <w:tr w:rsidR="00EA040A" w:rsidRPr="004F4616" w14:paraId="4B5BFC31" w14:textId="77777777" w:rsidTr="00E415F4">
        <w:tc>
          <w:tcPr>
            <w:tcW w:w="805" w:type="dxa"/>
            <w:vMerge/>
          </w:tcPr>
          <w:p w14:paraId="0B879CC2" w14:textId="77777777" w:rsidR="00EA040A" w:rsidRPr="004F4616" w:rsidRDefault="00EA040A" w:rsidP="00DA76AC">
            <w:pPr>
              <w:spacing w:after="0"/>
              <w:jc w:val="center"/>
              <w:rPr>
                <w:rFonts w:cstheme="minorHAnsi"/>
              </w:rPr>
            </w:pPr>
          </w:p>
        </w:tc>
        <w:tc>
          <w:tcPr>
            <w:tcW w:w="810" w:type="dxa"/>
          </w:tcPr>
          <w:p w14:paraId="6C9563CA" w14:textId="77777777" w:rsidR="00EA040A" w:rsidRPr="004F4616" w:rsidRDefault="00EA040A" w:rsidP="00DA76AC">
            <w:pPr>
              <w:spacing w:after="0"/>
              <w:rPr>
                <w:rFonts w:cstheme="minorHAnsi"/>
              </w:rPr>
            </w:pPr>
            <w:r>
              <w:rPr>
                <w:rFonts w:cstheme="minorHAnsi"/>
              </w:rPr>
              <w:t>9/30</w:t>
            </w:r>
          </w:p>
        </w:tc>
        <w:tc>
          <w:tcPr>
            <w:tcW w:w="990" w:type="dxa"/>
            <w:vMerge/>
          </w:tcPr>
          <w:p w14:paraId="43486707" w14:textId="77777777" w:rsidR="00EA040A" w:rsidRPr="00335B69" w:rsidRDefault="00EA040A" w:rsidP="00DA76AC">
            <w:pPr>
              <w:spacing w:after="0"/>
              <w:rPr>
                <w:rFonts w:cstheme="minorHAnsi"/>
                <w:b/>
                <w:bCs/>
              </w:rPr>
            </w:pPr>
          </w:p>
        </w:tc>
        <w:tc>
          <w:tcPr>
            <w:tcW w:w="3150" w:type="dxa"/>
          </w:tcPr>
          <w:p w14:paraId="4BA54CE3" w14:textId="489179CF" w:rsidR="00EA040A" w:rsidRPr="00EB0A6F" w:rsidRDefault="00EB0A6F" w:rsidP="00DA76AC">
            <w:pPr>
              <w:spacing w:after="0"/>
              <w:rPr>
                <w:rFonts w:cstheme="minorHAnsi"/>
              </w:rPr>
            </w:pPr>
            <w:r w:rsidRPr="00EB0A6F">
              <w:rPr>
                <w:rFonts w:cstheme="minorHAnsi"/>
              </w:rPr>
              <w:t xml:space="preserve">Nesbit, R. &amp; Christensen, R. (2018). </w:t>
            </w:r>
            <w:hyperlink r:id="rId15" w:history="1">
              <w:r w:rsidRPr="00EB0A6F">
                <w:rPr>
                  <w:rStyle w:val="Hyperlink"/>
                  <w:rFonts w:cstheme="minorHAnsi"/>
                </w:rPr>
                <w:t xml:space="preserve">How to get more </w:t>
              </w:r>
              <w:r w:rsidRPr="00EB0A6F">
                <w:rPr>
                  <w:rStyle w:val="Hyperlink"/>
                  <w:rFonts w:cstheme="minorHAnsi"/>
                </w:rPr>
                <w:lastRenderedPageBreak/>
                <w:t>Americans to volunteer</w:t>
              </w:r>
            </w:hyperlink>
            <w:r w:rsidRPr="00EB0A6F">
              <w:rPr>
                <w:rFonts w:cstheme="minorHAnsi"/>
              </w:rPr>
              <w:t>. The Conversation.</w:t>
            </w:r>
          </w:p>
        </w:tc>
        <w:tc>
          <w:tcPr>
            <w:tcW w:w="3150" w:type="dxa"/>
          </w:tcPr>
          <w:p w14:paraId="1F837609" w14:textId="46F5247B" w:rsidR="00EA040A" w:rsidRPr="00B94034" w:rsidRDefault="00B94034" w:rsidP="00DA76AC">
            <w:pPr>
              <w:spacing w:after="0"/>
              <w:rPr>
                <w:rFonts w:cstheme="minorHAnsi"/>
              </w:rPr>
            </w:pPr>
            <w:r w:rsidRPr="00B94034">
              <w:rPr>
                <w:rFonts w:cstheme="minorHAnsi"/>
                <w:i/>
                <w:iCs/>
              </w:rPr>
              <w:lastRenderedPageBreak/>
              <w:t>Question #5</w:t>
            </w:r>
            <w:r w:rsidRPr="00B94034">
              <w:rPr>
                <w:rFonts w:cstheme="minorHAnsi"/>
              </w:rPr>
              <w:t xml:space="preserve">: Volunteering is typically defined as an action lacking coercion. What are the </w:t>
            </w:r>
            <w:r w:rsidRPr="00B94034">
              <w:rPr>
                <w:rFonts w:cstheme="minorHAnsi"/>
              </w:rPr>
              <w:lastRenderedPageBreak/>
              <w:t>benefits, if any, of mandatory service?</w:t>
            </w:r>
          </w:p>
        </w:tc>
        <w:tc>
          <w:tcPr>
            <w:tcW w:w="4045" w:type="dxa"/>
          </w:tcPr>
          <w:p w14:paraId="3A2227C1" w14:textId="0854A3E6" w:rsidR="00EA040A" w:rsidRPr="00335B69" w:rsidRDefault="00B94034" w:rsidP="00DA76AC">
            <w:pPr>
              <w:spacing w:after="0"/>
              <w:rPr>
                <w:rFonts w:cstheme="minorHAnsi"/>
                <w:b/>
                <w:bCs/>
              </w:rPr>
            </w:pPr>
            <w:r>
              <w:rPr>
                <w:rFonts w:cstheme="minorHAnsi"/>
                <w:b/>
                <w:bCs/>
              </w:rPr>
              <w:lastRenderedPageBreak/>
              <w:t xml:space="preserve">Activity: </w:t>
            </w:r>
            <w:r w:rsidR="00DF073E" w:rsidRPr="00B94034">
              <w:rPr>
                <w:rFonts w:cstheme="minorHAnsi"/>
              </w:rPr>
              <w:t>Compulsory community service debate</w:t>
            </w:r>
          </w:p>
        </w:tc>
      </w:tr>
      <w:tr w:rsidR="00915316" w:rsidRPr="004F4616" w14:paraId="7F14633F" w14:textId="77777777" w:rsidTr="00241141">
        <w:tc>
          <w:tcPr>
            <w:tcW w:w="805" w:type="dxa"/>
            <w:vMerge w:val="restart"/>
          </w:tcPr>
          <w:p w14:paraId="22E6BEEA" w14:textId="77777777" w:rsidR="00915316" w:rsidRPr="004F4616" w:rsidRDefault="00915316" w:rsidP="00DA76AC">
            <w:pPr>
              <w:spacing w:after="0"/>
              <w:jc w:val="center"/>
              <w:rPr>
                <w:rFonts w:cstheme="minorHAnsi"/>
              </w:rPr>
            </w:pPr>
            <w:r w:rsidRPr="004F4616">
              <w:rPr>
                <w:rFonts w:cstheme="minorHAnsi"/>
              </w:rPr>
              <w:t>Week 8</w:t>
            </w:r>
          </w:p>
        </w:tc>
        <w:tc>
          <w:tcPr>
            <w:tcW w:w="810" w:type="dxa"/>
          </w:tcPr>
          <w:p w14:paraId="0936EC0E" w14:textId="77777777" w:rsidR="00915316" w:rsidRPr="004F4616" w:rsidRDefault="00915316" w:rsidP="00DA76AC">
            <w:pPr>
              <w:spacing w:after="0"/>
              <w:rPr>
                <w:rFonts w:cstheme="minorHAnsi"/>
              </w:rPr>
            </w:pPr>
            <w:r w:rsidRPr="004F4616">
              <w:rPr>
                <w:rFonts w:cstheme="minorHAnsi"/>
              </w:rPr>
              <w:t>10/</w:t>
            </w:r>
            <w:r>
              <w:rPr>
                <w:rFonts w:cstheme="minorHAnsi"/>
              </w:rPr>
              <w:t>5</w:t>
            </w:r>
          </w:p>
        </w:tc>
        <w:tc>
          <w:tcPr>
            <w:tcW w:w="11335" w:type="dxa"/>
            <w:gridSpan w:val="4"/>
          </w:tcPr>
          <w:p w14:paraId="1B0A8EC9" w14:textId="2BB18D07" w:rsidR="00915316" w:rsidRPr="004F4616" w:rsidRDefault="00855422" w:rsidP="00DA76AC">
            <w:pPr>
              <w:spacing w:after="0"/>
              <w:rPr>
                <w:rFonts w:cstheme="minorHAnsi"/>
              </w:rPr>
            </w:pPr>
            <w:r w:rsidRPr="00855422">
              <w:rPr>
                <w:rFonts w:cstheme="minorHAnsi"/>
              </w:rPr>
              <w:t>In class presentation: Giving and Sharing video analyses</w:t>
            </w:r>
          </w:p>
        </w:tc>
      </w:tr>
      <w:tr w:rsidR="00915316" w:rsidRPr="004F4616" w14:paraId="7D6DD3B3" w14:textId="77777777" w:rsidTr="00241141">
        <w:tc>
          <w:tcPr>
            <w:tcW w:w="805" w:type="dxa"/>
            <w:vMerge/>
          </w:tcPr>
          <w:p w14:paraId="4C306ADC" w14:textId="77777777" w:rsidR="00915316" w:rsidRPr="004F4616" w:rsidRDefault="00915316" w:rsidP="00DA76AC">
            <w:pPr>
              <w:spacing w:after="0"/>
              <w:jc w:val="center"/>
              <w:rPr>
                <w:rFonts w:cstheme="minorHAnsi"/>
              </w:rPr>
            </w:pPr>
          </w:p>
        </w:tc>
        <w:tc>
          <w:tcPr>
            <w:tcW w:w="810" w:type="dxa"/>
            <w:shd w:val="clear" w:color="auto" w:fill="70AD47" w:themeFill="accent6"/>
          </w:tcPr>
          <w:p w14:paraId="7880673D" w14:textId="77777777" w:rsidR="00915316" w:rsidRPr="004F4616" w:rsidRDefault="00915316" w:rsidP="00DA76AC">
            <w:pPr>
              <w:spacing w:after="0"/>
              <w:rPr>
                <w:rFonts w:cstheme="minorHAnsi"/>
              </w:rPr>
            </w:pPr>
            <w:r w:rsidRPr="004F4616">
              <w:rPr>
                <w:rFonts w:cstheme="minorHAnsi"/>
              </w:rPr>
              <w:t>10/</w:t>
            </w:r>
            <w:r>
              <w:rPr>
                <w:rFonts w:cstheme="minorHAnsi"/>
              </w:rPr>
              <w:t>7</w:t>
            </w:r>
          </w:p>
        </w:tc>
        <w:tc>
          <w:tcPr>
            <w:tcW w:w="11335" w:type="dxa"/>
            <w:gridSpan w:val="4"/>
            <w:shd w:val="clear" w:color="auto" w:fill="70AD47" w:themeFill="accent6"/>
            <w:vAlign w:val="center"/>
          </w:tcPr>
          <w:p w14:paraId="71058FE2" w14:textId="77777777" w:rsidR="00915316" w:rsidRPr="004F4616" w:rsidRDefault="00915316" w:rsidP="00DA76AC">
            <w:pPr>
              <w:spacing w:after="0"/>
              <w:jc w:val="center"/>
              <w:rPr>
                <w:rFonts w:cstheme="minorHAnsi"/>
              </w:rPr>
            </w:pPr>
            <w:r>
              <w:rPr>
                <w:rFonts w:cstheme="minorHAnsi"/>
              </w:rPr>
              <w:t>Fall Break</w:t>
            </w:r>
          </w:p>
        </w:tc>
      </w:tr>
      <w:tr w:rsidR="00EA040A" w:rsidRPr="004F4616" w14:paraId="0528330F" w14:textId="77777777" w:rsidTr="00E415F4">
        <w:tc>
          <w:tcPr>
            <w:tcW w:w="805" w:type="dxa"/>
            <w:vMerge w:val="restart"/>
          </w:tcPr>
          <w:p w14:paraId="795F6AF1" w14:textId="77777777" w:rsidR="00EA040A" w:rsidRPr="004F4616" w:rsidRDefault="00EA040A" w:rsidP="00DA76AC">
            <w:pPr>
              <w:spacing w:after="0"/>
              <w:jc w:val="center"/>
              <w:rPr>
                <w:rFonts w:cstheme="minorHAnsi"/>
              </w:rPr>
            </w:pPr>
            <w:r w:rsidRPr="004F4616">
              <w:rPr>
                <w:rFonts w:cstheme="minorHAnsi"/>
              </w:rPr>
              <w:t>Week 9</w:t>
            </w:r>
          </w:p>
        </w:tc>
        <w:tc>
          <w:tcPr>
            <w:tcW w:w="810" w:type="dxa"/>
          </w:tcPr>
          <w:p w14:paraId="5C969590" w14:textId="77777777" w:rsidR="00EA040A" w:rsidRPr="004F4616" w:rsidRDefault="00EA040A" w:rsidP="00DA76AC">
            <w:pPr>
              <w:spacing w:after="0"/>
              <w:rPr>
                <w:rFonts w:cstheme="minorHAnsi"/>
              </w:rPr>
            </w:pPr>
            <w:r w:rsidRPr="004F4616">
              <w:rPr>
                <w:rFonts w:cstheme="minorHAnsi"/>
              </w:rPr>
              <w:t>10/1</w:t>
            </w:r>
            <w:r>
              <w:rPr>
                <w:rFonts w:cstheme="minorHAnsi"/>
              </w:rPr>
              <w:t>2</w:t>
            </w:r>
          </w:p>
        </w:tc>
        <w:tc>
          <w:tcPr>
            <w:tcW w:w="990" w:type="dxa"/>
            <w:vMerge w:val="restart"/>
            <w:vAlign w:val="center"/>
          </w:tcPr>
          <w:p w14:paraId="17F49273" w14:textId="3625B73A" w:rsidR="00EA040A" w:rsidRPr="004F4616" w:rsidRDefault="008C2A0A" w:rsidP="00DA76AC">
            <w:pPr>
              <w:spacing w:after="0"/>
              <w:jc w:val="center"/>
              <w:rPr>
                <w:rFonts w:cstheme="minorHAnsi"/>
              </w:rPr>
            </w:pPr>
            <w:r w:rsidRPr="00241141">
              <w:rPr>
                <w:rFonts w:cstheme="minorHAnsi"/>
              </w:rPr>
              <w:t>The professional</w:t>
            </w:r>
          </w:p>
        </w:tc>
        <w:tc>
          <w:tcPr>
            <w:tcW w:w="3150" w:type="dxa"/>
          </w:tcPr>
          <w:p w14:paraId="1CA31727" w14:textId="2B6D9AC9" w:rsidR="00EA040A" w:rsidRPr="00241141" w:rsidRDefault="00241141" w:rsidP="00DA76AC">
            <w:pPr>
              <w:spacing w:after="0"/>
              <w:rPr>
                <w:rFonts w:cstheme="minorHAnsi"/>
              </w:rPr>
            </w:pPr>
            <w:r w:rsidRPr="00241141">
              <w:rPr>
                <w:rFonts w:cstheme="minorHAnsi"/>
              </w:rPr>
              <w:t xml:space="preserve">Carlson, M. &amp; Donohoe, M. </w:t>
            </w:r>
            <w:r>
              <w:rPr>
                <w:rFonts w:cstheme="minorHAnsi"/>
              </w:rPr>
              <w:t xml:space="preserve">(2010). </w:t>
            </w:r>
            <w:r w:rsidRPr="00241141">
              <w:rPr>
                <w:rFonts w:cstheme="minorHAnsi"/>
              </w:rPr>
              <w:t>Understanding th</w:t>
            </w:r>
            <w:r>
              <w:rPr>
                <w:rFonts w:cstheme="minorHAnsi"/>
              </w:rPr>
              <w:t>is big Job (pp. 3-14).</w:t>
            </w:r>
          </w:p>
        </w:tc>
        <w:tc>
          <w:tcPr>
            <w:tcW w:w="3150" w:type="dxa"/>
          </w:tcPr>
          <w:p w14:paraId="589AE2C6" w14:textId="7AB52FF2" w:rsidR="00EA040A" w:rsidRPr="004F4616" w:rsidRDefault="00594A7D" w:rsidP="00DA76AC">
            <w:pPr>
              <w:spacing w:after="0"/>
              <w:rPr>
                <w:rFonts w:cstheme="minorHAnsi"/>
              </w:rPr>
            </w:pPr>
            <w:r w:rsidRPr="00940CD9">
              <w:rPr>
                <w:rFonts w:cstheme="minorHAnsi"/>
                <w:i/>
                <w:iCs/>
              </w:rPr>
              <w:t>Question</w:t>
            </w:r>
            <w:r w:rsidR="00940CD9" w:rsidRPr="00940CD9">
              <w:rPr>
                <w:rFonts w:cstheme="minorHAnsi"/>
                <w:i/>
                <w:iCs/>
              </w:rPr>
              <w:t xml:space="preserve"> 6</w:t>
            </w:r>
            <w:r w:rsidR="00940CD9">
              <w:rPr>
                <w:rFonts w:cstheme="minorHAnsi"/>
              </w:rPr>
              <w:t>:  What does nonprofit leadership mean to you? And,</w:t>
            </w:r>
            <w:r w:rsidR="00940CD9" w:rsidRPr="00940CD9">
              <w:rPr>
                <w:rFonts w:cstheme="minorHAnsi"/>
              </w:rPr>
              <w:t xml:space="preserve"> </w:t>
            </w:r>
            <w:r w:rsidR="00940CD9">
              <w:rPr>
                <w:rFonts w:cstheme="minorHAnsi"/>
              </w:rPr>
              <w:t>i</w:t>
            </w:r>
            <w:r w:rsidR="00940CD9" w:rsidRPr="00940CD9">
              <w:rPr>
                <w:rFonts w:cstheme="minorHAnsi"/>
              </w:rPr>
              <w:t>n your opinion, do nonprofits need good leaders or good managers?</w:t>
            </w:r>
          </w:p>
        </w:tc>
        <w:tc>
          <w:tcPr>
            <w:tcW w:w="4045" w:type="dxa"/>
          </w:tcPr>
          <w:p w14:paraId="299D4AD7" w14:textId="7A3AD0BB" w:rsidR="00F11704" w:rsidRDefault="00F11704" w:rsidP="00DA76AC">
            <w:pPr>
              <w:spacing w:after="0"/>
              <w:rPr>
                <w:rFonts w:cstheme="minorHAnsi"/>
                <w:b/>
                <w:bCs/>
              </w:rPr>
            </w:pPr>
            <w:r>
              <w:rPr>
                <w:rFonts w:cstheme="minorHAnsi"/>
                <w:b/>
                <w:bCs/>
              </w:rPr>
              <w:t xml:space="preserve">Class facilitated by Ms. Branyon. </w:t>
            </w:r>
          </w:p>
          <w:p w14:paraId="025EAD3A" w14:textId="0DD11848" w:rsidR="00241141" w:rsidRPr="004F4616" w:rsidRDefault="00B94034" w:rsidP="00DA76AC">
            <w:pPr>
              <w:spacing w:after="0"/>
              <w:rPr>
                <w:rFonts w:cstheme="minorHAnsi"/>
              </w:rPr>
            </w:pPr>
            <w:r w:rsidRPr="00B94034">
              <w:rPr>
                <w:rFonts w:cstheme="minorHAnsi"/>
                <w:b/>
                <w:bCs/>
              </w:rPr>
              <w:t xml:space="preserve">Activity: </w:t>
            </w:r>
            <w:r w:rsidR="00241141" w:rsidRPr="00576BE5">
              <w:rPr>
                <w:rFonts w:cstheme="minorHAnsi"/>
              </w:rPr>
              <w:t>Leadership exercise</w:t>
            </w:r>
          </w:p>
        </w:tc>
      </w:tr>
      <w:tr w:rsidR="00292535" w:rsidRPr="004F4616" w14:paraId="0DECC945" w14:textId="77777777" w:rsidTr="00E415F4">
        <w:tc>
          <w:tcPr>
            <w:tcW w:w="805" w:type="dxa"/>
            <w:vMerge/>
          </w:tcPr>
          <w:p w14:paraId="723B87A3" w14:textId="77777777" w:rsidR="00292535" w:rsidRPr="004F4616" w:rsidRDefault="00292535" w:rsidP="00DA76AC">
            <w:pPr>
              <w:spacing w:after="0"/>
              <w:jc w:val="center"/>
              <w:rPr>
                <w:rFonts w:cstheme="minorHAnsi"/>
              </w:rPr>
            </w:pPr>
          </w:p>
        </w:tc>
        <w:tc>
          <w:tcPr>
            <w:tcW w:w="810" w:type="dxa"/>
          </w:tcPr>
          <w:p w14:paraId="70CF6A18" w14:textId="77777777" w:rsidR="00292535" w:rsidRPr="004F4616" w:rsidRDefault="00292535" w:rsidP="00DA76AC">
            <w:pPr>
              <w:spacing w:after="0"/>
              <w:rPr>
                <w:rFonts w:cstheme="minorHAnsi"/>
              </w:rPr>
            </w:pPr>
            <w:r>
              <w:rPr>
                <w:rFonts w:cstheme="minorHAnsi"/>
              </w:rPr>
              <w:t>10/14</w:t>
            </w:r>
          </w:p>
        </w:tc>
        <w:tc>
          <w:tcPr>
            <w:tcW w:w="990" w:type="dxa"/>
            <w:vMerge/>
          </w:tcPr>
          <w:p w14:paraId="215E4233" w14:textId="77777777" w:rsidR="00292535" w:rsidRPr="00335B69" w:rsidRDefault="00292535" w:rsidP="00DA76AC">
            <w:pPr>
              <w:spacing w:after="0"/>
              <w:rPr>
                <w:rFonts w:cstheme="minorHAnsi"/>
                <w:b/>
                <w:bCs/>
              </w:rPr>
            </w:pPr>
          </w:p>
        </w:tc>
        <w:tc>
          <w:tcPr>
            <w:tcW w:w="10345" w:type="dxa"/>
            <w:gridSpan w:val="3"/>
          </w:tcPr>
          <w:p w14:paraId="6E4FFEBF" w14:textId="09D6A33C" w:rsidR="00E415F4" w:rsidRPr="00CC0A49" w:rsidRDefault="00292535" w:rsidP="00CC0A49">
            <w:pPr>
              <w:spacing w:after="0"/>
              <w:rPr>
                <w:rFonts w:cstheme="minorHAnsi"/>
                <w:b/>
                <w:bCs/>
              </w:rPr>
            </w:pPr>
            <w:r w:rsidRPr="00E415F4">
              <w:rPr>
                <w:rFonts w:cstheme="minorHAnsi"/>
                <w:b/>
                <w:bCs/>
              </w:rPr>
              <w:t>Nonprofit professionals panel</w:t>
            </w:r>
            <w:r w:rsidR="000D571D">
              <w:rPr>
                <w:rFonts w:cstheme="minorHAnsi"/>
                <w:b/>
                <w:bCs/>
              </w:rPr>
              <w:t xml:space="preserve">: </w:t>
            </w:r>
            <w:r w:rsidRPr="00CC0A49">
              <w:rPr>
                <w:rFonts w:cstheme="minorHAnsi"/>
              </w:rPr>
              <w:t>Lisa Harris (Director, Alexander City Schools Education Foundation)</w:t>
            </w:r>
            <w:r w:rsidR="000D571D" w:rsidRPr="00CC0A49">
              <w:rPr>
                <w:rFonts w:cstheme="minorHAnsi"/>
              </w:rPr>
              <w:t xml:space="preserve">; </w:t>
            </w:r>
            <w:r w:rsidR="00E415F4" w:rsidRPr="00CC0A49">
              <w:rPr>
                <w:rFonts w:cstheme="minorHAnsi"/>
              </w:rPr>
              <w:t>Caitlin Andrews (</w:t>
            </w:r>
            <w:r w:rsidR="009006FA" w:rsidRPr="00CC0A49">
              <w:rPr>
                <w:rFonts w:cstheme="minorHAnsi"/>
              </w:rPr>
              <w:t>Community Initiatives Specialist, United Way of Lee County</w:t>
            </w:r>
            <w:r w:rsidR="00E415F4" w:rsidRPr="00CC0A49">
              <w:rPr>
                <w:rFonts w:cstheme="minorHAnsi"/>
              </w:rPr>
              <w:t>)</w:t>
            </w:r>
            <w:r w:rsidR="000D571D" w:rsidRPr="00CC0A49">
              <w:rPr>
                <w:rFonts w:cstheme="minorHAnsi"/>
              </w:rPr>
              <w:t>; Katie Wolter (The Nourish Foundation)</w:t>
            </w:r>
            <w:r w:rsidR="00CC0A49" w:rsidRPr="00CC0A49">
              <w:rPr>
                <w:rFonts w:cstheme="minorHAnsi"/>
              </w:rPr>
              <w:t xml:space="preserve">; </w:t>
            </w:r>
            <w:r w:rsidR="00E415F4" w:rsidRPr="00CC0A49">
              <w:rPr>
                <w:rFonts w:cstheme="minorHAnsi"/>
              </w:rPr>
              <w:t>Jennifer Shawa</w:t>
            </w:r>
            <w:r w:rsidR="00CC0A49" w:rsidRPr="00CC0A49">
              <w:rPr>
                <w:rFonts w:cstheme="minorHAnsi"/>
              </w:rPr>
              <w:t xml:space="preserve"> (</w:t>
            </w:r>
            <w:r w:rsidR="00CC0A49" w:rsidRPr="00CC0A49">
              <w:rPr>
                <w:color w:val="000000"/>
              </w:rPr>
              <w:t>Director of Development, Twin Cedars Youth and Family Services, Inc.</w:t>
            </w:r>
            <w:r w:rsidR="00E317B2">
              <w:rPr>
                <w:color w:val="000000"/>
              </w:rPr>
              <w:t>)</w:t>
            </w:r>
          </w:p>
        </w:tc>
      </w:tr>
      <w:tr w:rsidR="00CE4E04" w:rsidRPr="004F4616" w14:paraId="39A80704" w14:textId="77777777" w:rsidTr="00241141">
        <w:tc>
          <w:tcPr>
            <w:tcW w:w="805" w:type="dxa"/>
            <w:vMerge w:val="restart"/>
          </w:tcPr>
          <w:p w14:paraId="4FF2147D" w14:textId="77777777" w:rsidR="00CE4E04" w:rsidRPr="004F4616" w:rsidRDefault="00CE4E04" w:rsidP="00DA76AC">
            <w:pPr>
              <w:spacing w:after="0"/>
              <w:jc w:val="center"/>
              <w:rPr>
                <w:rFonts w:cstheme="minorHAnsi"/>
              </w:rPr>
            </w:pPr>
            <w:r w:rsidRPr="004F4616">
              <w:rPr>
                <w:rFonts w:cstheme="minorHAnsi"/>
              </w:rPr>
              <w:t>Week 10</w:t>
            </w:r>
          </w:p>
        </w:tc>
        <w:tc>
          <w:tcPr>
            <w:tcW w:w="810" w:type="dxa"/>
          </w:tcPr>
          <w:p w14:paraId="1508D0A3" w14:textId="77777777" w:rsidR="00CE4E04" w:rsidRPr="004F4616" w:rsidRDefault="00CE4E04" w:rsidP="00DA76AC">
            <w:pPr>
              <w:spacing w:after="0"/>
              <w:rPr>
                <w:rFonts w:cstheme="minorHAnsi"/>
              </w:rPr>
            </w:pPr>
            <w:r w:rsidRPr="004F4616">
              <w:rPr>
                <w:rFonts w:cstheme="minorHAnsi"/>
              </w:rPr>
              <w:t>10/</w:t>
            </w:r>
            <w:r>
              <w:rPr>
                <w:rFonts w:cstheme="minorHAnsi"/>
              </w:rPr>
              <w:t>19</w:t>
            </w:r>
          </w:p>
        </w:tc>
        <w:tc>
          <w:tcPr>
            <w:tcW w:w="11335" w:type="dxa"/>
            <w:gridSpan w:val="4"/>
          </w:tcPr>
          <w:p w14:paraId="29B5AC84" w14:textId="2CD346E9" w:rsidR="00CE4E04" w:rsidRPr="004F4616" w:rsidRDefault="00CE4E04" w:rsidP="00DA76AC">
            <w:pPr>
              <w:spacing w:after="0"/>
              <w:rPr>
                <w:rFonts w:cstheme="minorHAnsi"/>
              </w:rPr>
            </w:pPr>
            <w:r w:rsidRPr="00CE4E04">
              <w:rPr>
                <w:rFonts w:cstheme="minorHAnsi"/>
              </w:rPr>
              <w:t>Service-learning update presentations</w:t>
            </w:r>
          </w:p>
        </w:tc>
      </w:tr>
      <w:tr w:rsidR="00915316" w:rsidRPr="004F4616" w14:paraId="1E746E34" w14:textId="77777777" w:rsidTr="00241141">
        <w:tc>
          <w:tcPr>
            <w:tcW w:w="805" w:type="dxa"/>
            <w:vMerge/>
          </w:tcPr>
          <w:p w14:paraId="7E21EDBB" w14:textId="77777777" w:rsidR="00915316" w:rsidRPr="004F4616" w:rsidRDefault="00915316" w:rsidP="00DA76AC">
            <w:pPr>
              <w:spacing w:after="0"/>
              <w:jc w:val="center"/>
              <w:rPr>
                <w:rFonts w:cstheme="minorHAnsi"/>
              </w:rPr>
            </w:pPr>
          </w:p>
        </w:tc>
        <w:tc>
          <w:tcPr>
            <w:tcW w:w="810" w:type="dxa"/>
          </w:tcPr>
          <w:p w14:paraId="76AA117F" w14:textId="77777777" w:rsidR="00915316" w:rsidRPr="004F4616" w:rsidRDefault="00915316" w:rsidP="00DA76AC">
            <w:pPr>
              <w:spacing w:after="0"/>
              <w:rPr>
                <w:rFonts w:cstheme="minorHAnsi"/>
              </w:rPr>
            </w:pPr>
            <w:r>
              <w:rPr>
                <w:rFonts w:cstheme="minorHAnsi"/>
              </w:rPr>
              <w:t>10/21</w:t>
            </w:r>
          </w:p>
        </w:tc>
        <w:tc>
          <w:tcPr>
            <w:tcW w:w="11335" w:type="dxa"/>
            <w:gridSpan w:val="4"/>
          </w:tcPr>
          <w:p w14:paraId="756E2AFF" w14:textId="358504AB" w:rsidR="00915316" w:rsidRPr="00855422" w:rsidRDefault="00DC4F6C" w:rsidP="00DA76AC">
            <w:pPr>
              <w:spacing w:after="0"/>
              <w:rPr>
                <w:rFonts w:cstheme="minorHAnsi"/>
                <w:b/>
                <w:bCs/>
              </w:rPr>
            </w:pPr>
            <w:r>
              <w:rPr>
                <w:rFonts w:cstheme="minorHAnsi"/>
                <w:b/>
                <w:bCs/>
              </w:rPr>
              <w:t>Exam</w:t>
            </w:r>
            <w:r w:rsidR="00855422">
              <w:rPr>
                <w:rFonts w:cstheme="minorHAnsi"/>
                <w:b/>
                <w:bCs/>
              </w:rPr>
              <w:t xml:space="preserve"> #2</w:t>
            </w:r>
          </w:p>
        </w:tc>
      </w:tr>
      <w:tr w:rsidR="00CA2DA0" w:rsidRPr="004F4616" w14:paraId="670BE737" w14:textId="77777777" w:rsidTr="00563CFC">
        <w:tc>
          <w:tcPr>
            <w:tcW w:w="12950" w:type="dxa"/>
            <w:gridSpan w:val="6"/>
          </w:tcPr>
          <w:p w14:paraId="453A423D" w14:textId="4655CD5E" w:rsidR="00CA2DA0" w:rsidRPr="00CA2DA0" w:rsidRDefault="00CA2DA0" w:rsidP="00DA76AC">
            <w:pPr>
              <w:spacing w:after="0"/>
              <w:rPr>
                <w:rFonts w:cstheme="minorHAnsi"/>
                <w:b/>
                <w:bCs/>
              </w:rPr>
            </w:pPr>
            <w:r w:rsidRPr="00CA2DA0">
              <w:rPr>
                <w:rFonts w:cstheme="minorHAnsi"/>
                <w:b/>
                <w:bCs/>
              </w:rPr>
              <w:t>Module 3 – The Donor: Profiles of givers</w:t>
            </w:r>
          </w:p>
        </w:tc>
      </w:tr>
      <w:tr w:rsidR="00AF5309" w:rsidRPr="004F4616" w14:paraId="6311BADA" w14:textId="77777777" w:rsidTr="00E415F4">
        <w:tc>
          <w:tcPr>
            <w:tcW w:w="805" w:type="dxa"/>
            <w:vMerge w:val="restart"/>
          </w:tcPr>
          <w:p w14:paraId="34027CE6" w14:textId="77777777" w:rsidR="00AF5309" w:rsidRPr="004F4616" w:rsidRDefault="00AF5309" w:rsidP="00DA76AC">
            <w:pPr>
              <w:spacing w:after="0"/>
              <w:jc w:val="center"/>
              <w:rPr>
                <w:rFonts w:cstheme="minorHAnsi"/>
              </w:rPr>
            </w:pPr>
            <w:r w:rsidRPr="004F4616">
              <w:rPr>
                <w:rFonts w:cstheme="minorHAnsi"/>
              </w:rPr>
              <w:t>Week 11</w:t>
            </w:r>
          </w:p>
        </w:tc>
        <w:tc>
          <w:tcPr>
            <w:tcW w:w="810" w:type="dxa"/>
          </w:tcPr>
          <w:p w14:paraId="5E7E511B" w14:textId="77777777" w:rsidR="00AF5309" w:rsidRPr="004F4616" w:rsidRDefault="00AF5309" w:rsidP="00DA76AC">
            <w:pPr>
              <w:spacing w:after="0"/>
              <w:rPr>
                <w:rFonts w:cstheme="minorHAnsi"/>
              </w:rPr>
            </w:pPr>
            <w:r w:rsidRPr="004F4616">
              <w:rPr>
                <w:rFonts w:cstheme="minorHAnsi"/>
              </w:rPr>
              <w:t>10/2</w:t>
            </w:r>
            <w:r>
              <w:rPr>
                <w:rFonts w:cstheme="minorHAnsi"/>
              </w:rPr>
              <w:t>6</w:t>
            </w:r>
          </w:p>
        </w:tc>
        <w:tc>
          <w:tcPr>
            <w:tcW w:w="990" w:type="dxa"/>
          </w:tcPr>
          <w:p w14:paraId="2EFA5293" w14:textId="2F56FE7D" w:rsidR="00AF5309" w:rsidRPr="004F4616" w:rsidRDefault="00AF5309" w:rsidP="00DA76AC">
            <w:pPr>
              <w:spacing w:after="0"/>
              <w:rPr>
                <w:rFonts w:cstheme="minorHAnsi"/>
              </w:rPr>
            </w:pPr>
            <w:r w:rsidRPr="0054625E">
              <w:rPr>
                <w:rFonts w:cstheme="minorHAnsi"/>
              </w:rPr>
              <w:t>The Socialite</w:t>
            </w:r>
          </w:p>
        </w:tc>
        <w:tc>
          <w:tcPr>
            <w:tcW w:w="3150" w:type="dxa"/>
          </w:tcPr>
          <w:p w14:paraId="543E9C1B" w14:textId="485627D2" w:rsidR="00AF5309" w:rsidRPr="004F4616" w:rsidRDefault="00E867BA" w:rsidP="00DA76AC">
            <w:pPr>
              <w:spacing w:after="0"/>
              <w:rPr>
                <w:rFonts w:cstheme="minorHAnsi"/>
              </w:rPr>
            </w:pPr>
            <w:r>
              <w:rPr>
                <w:rFonts w:cstheme="minorHAnsi"/>
              </w:rPr>
              <w:t xml:space="preserve">Reeves, R. (2019). </w:t>
            </w:r>
            <w:hyperlink r:id="rId16" w:history="1">
              <w:r w:rsidRPr="00E867BA">
                <w:rPr>
                  <w:rStyle w:val="Hyperlink"/>
                  <w:rFonts w:cstheme="minorHAnsi"/>
                </w:rPr>
                <w:t>Feeling good or doing good? Emotional social capital versus relational social capital</w:t>
              </w:r>
            </w:hyperlink>
            <w:r>
              <w:rPr>
                <w:rFonts w:cstheme="minorHAnsi"/>
              </w:rPr>
              <w:t xml:space="preserve">. </w:t>
            </w:r>
            <w:r w:rsidRPr="00E867BA">
              <w:rPr>
                <w:rFonts w:cstheme="minorHAnsi"/>
                <w:i/>
                <w:iCs/>
              </w:rPr>
              <w:t>Brookings</w:t>
            </w:r>
            <w:r>
              <w:rPr>
                <w:rFonts w:cstheme="minorHAnsi"/>
              </w:rPr>
              <w:t>.</w:t>
            </w:r>
          </w:p>
        </w:tc>
        <w:tc>
          <w:tcPr>
            <w:tcW w:w="3150" w:type="dxa"/>
          </w:tcPr>
          <w:p w14:paraId="00F79553" w14:textId="2EAA2C39" w:rsidR="00AF5309" w:rsidRPr="004F4616" w:rsidRDefault="003B20AF" w:rsidP="00DA76AC">
            <w:pPr>
              <w:spacing w:after="0"/>
              <w:rPr>
                <w:rFonts w:cstheme="minorHAnsi"/>
              </w:rPr>
            </w:pPr>
            <w:r w:rsidRPr="00B94034">
              <w:rPr>
                <w:rFonts w:cstheme="minorHAnsi"/>
                <w:i/>
                <w:iCs/>
              </w:rPr>
              <w:t>Question</w:t>
            </w:r>
            <w:r w:rsidR="003E2BCF">
              <w:rPr>
                <w:rFonts w:cstheme="minorHAnsi"/>
                <w:i/>
                <w:iCs/>
              </w:rPr>
              <w:t xml:space="preserve"> 7</w:t>
            </w:r>
            <w:r w:rsidR="00B94034" w:rsidRPr="00B94034">
              <w:rPr>
                <w:rFonts w:cstheme="minorHAnsi"/>
                <w:i/>
                <w:iCs/>
              </w:rPr>
              <w:t>:</w:t>
            </w:r>
            <w:r w:rsidR="00B94034">
              <w:rPr>
                <w:rFonts w:cstheme="minorHAnsi"/>
              </w:rPr>
              <w:t xml:space="preserve"> Reflect on you past and current volunteer experiences. What parts did you enjoy the most? And why? And how have you benefitted from these experiences?</w:t>
            </w:r>
          </w:p>
        </w:tc>
        <w:tc>
          <w:tcPr>
            <w:tcW w:w="4045" w:type="dxa"/>
          </w:tcPr>
          <w:p w14:paraId="352838A4" w14:textId="1B9008B7" w:rsidR="00AF5309" w:rsidRPr="004F4616" w:rsidRDefault="008B0AB4" w:rsidP="00DA76AC">
            <w:pPr>
              <w:spacing w:after="0"/>
              <w:rPr>
                <w:rFonts w:cstheme="minorHAnsi"/>
              </w:rPr>
            </w:pPr>
            <w:r>
              <w:rPr>
                <w:rFonts w:cstheme="minorHAnsi"/>
              </w:rPr>
              <w:t>Sorority/fraternity activity/map your social capital</w:t>
            </w:r>
          </w:p>
        </w:tc>
      </w:tr>
      <w:tr w:rsidR="00AF5309" w:rsidRPr="004F4616" w14:paraId="5DF33518" w14:textId="77777777" w:rsidTr="00E415F4">
        <w:tc>
          <w:tcPr>
            <w:tcW w:w="805" w:type="dxa"/>
            <w:vMerge/>
          </w:tcPr>
          <w:p w14:paraId="3A3A2948" w14:textId="77777777" w:rsidR="00AF5309" w:rsidRPr="004F4616" w:rsidRDefault="00AF5309" w:rsidP="00DA76AC">
            <w:pPr>
              <w:spacing w:after="0"/>
              <w:jc w:val="center"/>
              <w:rPr>
                <w:rFonts w:cstheme="minorHAnsi"/>
              </w:rPr>
            </w:pPr>
          </w:p>
        </w:tc>
        <w:tc>
          <w:tcPr>
            <w:tcW w:w="810" w:type="dxa"/>
          </w:tcPr>
          <w:p w14:paraId="644E767C" w14:textId="77777777" w:rsidR="00AF5309" w:rsidRPr="004F4616" w:rsidRDefault="00AF5309" w:rsidP="00DA76AC">
            <w:pPr>
              <w:spacing w:after="0"/>
              <w:rPr>
                <w:rFonts w:cstheme="minorHAnsi"/>
              </w:rPr>
            </w:pPr>
            <w:r>
              <w:rPr>
                <w:rFonts w:cstheme="minorHAnsi"/>
              </w:rPr>
              <w:t>10/28</w:t>
            </w:r>
          </w:p>
        </w:tc>
        <w:tc>
          <w:tcPr>
            <w:tcW w:w="990" w:type="dxa"/>
          </w:tcPr>
          <w:p w14:paraId="0155E721" w14:textId="376DD99A" w:rsidR="00AF5309" w:rsidRPr="00F831DD" w:rsidRDefault="00AF5309" w:rsidP="00DA76AC">
            <w:pPr>
              <w:spacing w:after="0"/>
              <w:rPr>
                <w:rFonts w:cstheme="minorHAnsi"/>
                <w:b/>
                <w:bCs/>
              </w:rPr>
            </w:pPr>
            <w:r w:rsidRPr="0054625E">
              <w:rPr>
                <w:rFonts w:cstheme="minorHAnsi"/>
              </w:rPr>
              <w:t>The altruist</w:t>
            </w:r>
          </w:p>
        </w:tc>
        <w:tc>
          <w:tcPr>
            <w:tcW w:w="3150" w:type="dxa"/>
          </w:tcPr>
          <w:p w14:paraId="57909F26" w14:textId="79FA8845" w:rsidR="00842C0A" w:rsidRPr="00117188" w:rsidRDefault="00D32479" w:rsidP="00DA76AC">
            <w:pPr>
              <w:spacing w:after="0"/>
              <w:rPr>
                <w:rFonts w:cstheme="minorHAnsi"/>
              </w:rPr>
            </w:pPr>
            <w:hyperlink r:id="rId17" w:history="1">
              <w:r w:rsidR="00F24E13" w:rsidRPr="00F24E13">
                <w:rPr>
                  <w:rStyle w:val="Hyperlink"/>
                  <w:rFonts w:cstheme="minorHAnsi"/>
                </w:rPr>
                <w:t>Introduction to Effective Altruism</w:t>
              </w:r>
            </w:hyperlink>
          </w:p>
        </w:tc>
        <w:tc>
          <w:tcPr>
            <w:tcW w:w="3150" w:type="dxa"/>
          </w:tcPr>
          <w:p w14:paraId="62365D8E" w14:textId="77777777" w:rsidR="00AF5309" w:rsidRPr="00F831DD" w:rsidRDefault="00AF5309" w:rsidP="00DA76AC">
            <w:pPr>
              <w:spacing w:after="0"/>
              <w:rPr>
                <w:rFonts w:cstheme="minorHAnsi"/>
                <w:b/>
                <w:bCs/>
              </w:rPr>
            </w:pPr>
          </w:p>
        </w:tc>
        <w:tc>
          <w:tcPr>
            <w:tcW w:w="4045" w:type="dxa"/>
          </w:tcPr>
          <w:p w14:paraId="31247041" w14:textId="70FF7D4A" w:rsidR="00AF5309" w:rsidRPr="00F831DD" w:rsidRDefault="003A4AFB" w:rsidP="00DA76AC">
            <w:pPr>
              <w:spacing w:after="0"/>
              <w:rPr>
                <w:rFonts w:cstheme="minorHAnsi"/>
                <w:b/>
                <w:bCs/>
              </w:rPr>
            </w:pPr>
            <w:r>
              <w:rPr>
                <w:rFonts w:cstheme="minorHAnsi"/>
                <w:b/>
                <w:bCs/>
              </w:rPr>
              <w:t xml:space="preserve">Video analysis: </w:t>
            </w:r>
            <w:hyperlink r:id="rId18" w:history="1">
              <w:r w:rsidR="001D7565" w:rsidRPr="003A4AFB">
                <w:rPr>
                  <w:rStyle w:val="Hyperlink"/>
                  <w:rFonts w:cstheme="minorHAnsi"/>
                </w:rPr>
                <w:t>Peter Singer</w:t>
              </w:r>
              <w:r w:rsidRPr="003A4AFB">
                <w:rPr>
                  <w:rStyle w:val="Hyperlink"/>
                  <w:rFonts w:cstheme="minorHAnsi"/>
                </w:rPr>
                <w:t>, The Why and How of Effective Altruism</w:t>
              </w:r>
            </w:hyperlink>
          </w:p>
        </w:tc>
      </w:tr>
      <w:tr w:rsidR="00AF5309" w:rsidRPr="004F4616" w14:paraId="19F157C4" w14:textId="77777777" w:rsidTr="00E415F4">
        <w:tc>
          <w:tcPr>
            <w:tcW w:w="805" w:type="dxa"/>
            <w:vMerge w:val="restart"/>
          </w:tcPr>
          <w:p w14:paraId="5648BE7F" w14:textId="77777777" w:rsidR="00AF5309" w:rsidRPr="004F4616" w:rsidRDefault="00AF5309" w:rsidP="00DA76AC">
            <w:pPr>
              <w:spacing w:after="0"/>
              <w:jc w:val="center"/>
              <w:rPr>
                <w:rFonts w:cstheme="minorHAnsi"/>
              </w:rPr>
            </w:pPr>
            <w:r w:rsidRPr="004F4616">
              <w:rPr>
                <w:rFonts w:cstheme="minorHAnsi"/>
              </w:rPr>
              <w:t>Week 12</w:t>
            </w:r>
          </w:p>
        </w:tc>
        <w:tc>
          <w:tcPr>
            <w:tcW w:w="810" w:type="dxa"/>
          </w:tcPr>
          <w:p w14:paraId="3FC0F3BD" w14:textId="77777777" w:rsidR="00AF5309" w:rsidRPr="004F4616" w:rsidRDefault="00AF5309" w:rsidP="00DA76AC">
            <w:pPr>
              <w:spacing w:after="0"/>
              <w:rPr>
                <w:rFonts w:cstheme="minorHAnsi"/>
              </w:rPr>
            </w:pPr>
            <w:r w:rsidRPr="004F4616">
              <w:rPr>
                <w:rFonts w:cstheme="minorHAnsi"/>
              </w:rPr>
              <w:t>11/</w:t>
            </w:r>
            <w:r>
              <w:rPr>
                <w:rFonts w:cstheme="minorHAnsi"/>
              </w:rPr>
              <w:t>2</w:t>
            </w:r>
          </w:p>
        </w:tc>
        <w:tc>
          <w:tcPr>
            <w:tcW w:w="990" w:type="dxa"/>
          </w:tcPr>
          <w:p w14:paraId="68537F30" w14:textId="0C41BAC5" w:rsidR="00AF5309" w:rsidRPr="004F4616" w:rsidRDefault="00AF5309" w:rsidP="00DA76AC">
            <w:pPr>
              <w:spacing w:after="0"/>
              <w:rPr>
                <w:rFonts w:cstheme="minorHAnsi"/>
              </w:rPr>
            </w:pPr>
            <w:r>
              <w:rPr>
                <w:rFonts w:cstheme="minorHAnsi"/>
              </w:rPr>
              <w:t>T</w:t>
            </w:r>
            <w:r w:rsidRPr="0054625E">
              <w:rPr>
                <w:rFonts w:cstheme="minorHAnsi"/>
              </w:rPr>
              <w:t>he communitarian</w:t>
            </w:r>
          </w:p>
        </w:tc>
        <w:tc>
          <w:tcPr>
            <w:tcW w:w="3150" w:type="dxa"/>
          </w:tcPr>
          <w:p w14:paraId="664332FF" w14:textId="7A4332CA" w:rsidR="00AF5309" w:rsidRPr="004F4616" w:rsidRDefault="00756BBC" w:rsidP="00DA76AC">
            <w:pPr>
              <w:spacing w:after="0"/>
              <w:rPr>
                <w:rFonts w:cstheme="minorHAnsi"/>
              </w:rPr>
            </w:pPr>
            <w:r>
              <w:rPr>
                <w:rFonts w:cstheme="minorHAnsi"/>
              </w:rPr>
              <w:t>Barnes, M. &amp; Schmitz, P. (2016).</w:t>
            </w:r>
            <w:r>
              <w:t xml:space="preserve"> </w:t>
            </w:r>
            <w:hyperlink r:id="rId19" w:history="1">
              <w:r w:rsidRPr="00756BBC">
                <w:rPr>
                  <w:rStyle w:val="Hyperlink"/>
                  <w:rFonts w:cstheme="minorHAnsi"/>
                </w:rPr>
                <w:t>Community Engagement Matters (Now More Than Ever)</w:t>
              </w:r>
            </w:hyperlink>
            <w:r>
              <w:rPr>
                <w:rFonts w:cstheme="minorHAnsi"/>
              </w:rPr>
              <w:t xml:space="preserve">. </w:t>
            </w:r>
            <w:r w:rsidRPr="00756BBC">
              <w:rPr>
                <w:rFonts w:cstheme="minorHAnsi"/>
                <w:i/>
                <w:iCs/>
              </w:rPr>
              <w:t>Stanford Social Innovation Review</w:t>
            </w:r>
            <w:r>
              <w:rPr>
                <w:rFonts w:cstheme="minorHAnsi"/>
              </w:rPr>
              <w:t xml:space="preserve">. </w:t>
            </w:r>
          </w:p>
        </w:tc>
        <w:tc>
          <w:tcPr>
            <w:tcW w:w="3150" w:type="dxa"/>
          </w:tcPr>
          <w:p w14:paraId="3B084351" w14:textId="1DF23081" w:rsidR="00AF5309" w:rsidRPr="004F4616" w:rsidRDefault="003B20AF" w:rsidP="00DA76AC">
            <w:pPr>
              <w:spacing w:after="0"/>
              <w:rPr>
                <w:rFonts w:cstheme="minorHAnsi"/>
              </w:rPr>
            </w:pPr>
            <w:r w:rsidRPr="003A4AFB">
              <w:rPr>
                <w:rFonts w:cstheme="minorHAnsi"/>
                <w:i/>
                <w:iCs/>
              </w:rPr>
              <w:t>Question</w:t>
            </w:r>
            <w:r w:rsidR="003A4AFB" w:rsidRPr="003A4AFB">
              <w:rPr>
                <w:rFonts w:cstheme="minorHAnsi"/>
                <w:i/>
                <w:iCs/>
              </w:rPr>
              <w:t xml:space="preserve"> 8</w:t>
            </w:r>
            <w:r w:rsidR="003E2BCF">
              <w:rPr>
                <w:rFonts w:cstheme="minorHAnsi"/>
              </w:rPr>
              <w:t xml:space="preserve">: </w:t>
            </w:r>
            <w:r w:rsidR="003A4AFB">
              <w:rPr>
                <w:rFonts w:cstheme="minorHAnsi"/>
              </w:rPr>
              <w:t xml:space="preserve">A typical saying states: “Charity begins at home.” What does it mean to you? And do you agree with it? Explain.  </w:t>
            </w:r>
          </w:p>
        </w:tc>
        <w:tc>
          <w:tcPr>
            <w:tcW w:w="4045" w:type="dxa"/>
          </w:tcPr>
          <w:p w14:paraId="470B5CBB" w14:textId="77777777" w:rsidR="00AF5309" w:rsidRPr="004F4616" w:rsidRDefault="00AF5309" w:rsidP="00DA76AC">
            <w:pPr>
              <w:spacing w:after="0"/>
              <w:rPr>
                <w:rFonts w:cstheme="minorHAnsi"/>
              </w:rPr>
            </w:pPr>
          </w:p>
        </w:tc>
      </w:tr>
      <w:tr w:rsidR="00AF5309" w:rsidRPr="004F4616" w14:paraId="74167062" w14:textId="77777777" w:rsidTr="00E415F4">
        <w:tc>
          <w:tcPr>
            <w:tcW w:w="805" w:type="dxa"/>
            <w:vMerge/>
          </w:tcPr>
          <w:p w14:paraId="5AC0A7E8" w14:textId="77777777" w:rsidR="00AF5309" w:rsidRPr="004F4616" w:rsidRDefault="00AF5309" w:rsidP="00DA76AC">
            <w:pPr>
              <w:spacing w:after="0"/>
              <w:jc w:val="center"/>
              <w:rPr>
                <w:rFonts w:cstheme="minorHAnsi"/>
              </w:rPr>
            </w:pPr>
          </w:p>
        </w:tc>
        <w:tc>
          <w:tcPr>
            <w:tcW w:w="810" w:type="dxa"/>
          </w:tcPr>
          <w:p w14:paraId="2BF667D8" w14:textId="77777777" w:rsidR="00AF5309" w:rsidRPr="004F4616" w:rsidRDefault="00AF5309" w:rsidP="00DA76AC">
            <w:pPr>
              <w:spacing w:after="0"/>
              <w:rPr>
                <w:rFonts w:cstheme="minorHAnsi"/>
              </w:rPr>
            </w:pPr>
            <w:r>
              <w:rPr>
                <w:rFonts w:cstheme="minorHAnsi"/>
              </w:rPr>
              <w:t>11/4</w:t>
            </w:r>
          </w:p>
        </w:tc>
        <w:tc>
          <w:tcPr>
            <w:tcW w:w="990" w:type="dxa"/>
          </w:tcPr>
          <w:p w14:paraId="6A755963" w14:textId="50A6D887" w:rsidR="00AF5309" w:rsidRPr="0054625E" w:rsidRDefault="00AF5309" w:rsidP="00DA76AC">
            <w:pPr>
              <w:spacing w:after="0"/>
              <w:rPr>
                <w:rFonts w:cstheme="minorHAnsi"/>
              </w:rPr>
            </w:pPr>
            <w:r>
              <w:rPr>
                <w:rFonts w:cstheme="minorHAnsi"/>
              </w:rPr>
              <w:t xml:space="preserve">The </w:t>
            </w:r>
            <w:r w:rsidRPr="0054625E">
              <w:rPr>
                <w:rFonts w:cstheme="minorHAnsi"/>
              </w:rPr>
              <w:t>devout</w:t>
            </w:r>
          </w:p>
        </w:tc>
        <w:tc>
          <w:tcPr>
            <w:tcW w:w="3150" w:type="dxa"/>
          </w:tcPr>
          <w:p w14:paraId="62168AB1" w14:textId="09FF90CE" w:rsidR="00AF5309" w:rsidRDefault="00F24E13" w:rsidP="00DA76AC">
            <w:pPr>
              <w:spacing w:after="0"/>
              <w:rPr>
                <w:rFonts w:cstheme="minorHAnsi"/>
              </w:rPr>
            </w:pPr>
            <w:r>
              <w:rPr>
                <w:rFonts w:cstheme="minorHAnsi"/>
              </w:rPr>
              <w:t xml:space="preserve">King, D. (2017). </w:t>
            </w:r>
            <w:hyperlink r:id="rId20" w:history="1">
              <w:r w:rsidRPr="00FD2FE6">
                <w:rPr>
                  <w:rStyle w:val="Hyperlink"/>
                  <w:rFonts w:cstheme="minorHAnsi"/>
                </w:rPr>
                <w:t>Why faith inspires people to give</w:t>
              </w:r>
            </w:hyperlink>
            <w:r>
              <w:rPr>
                <w:rFonts w:cstheme="minorHAnsi"/>
              </w:rPr>
              <w:t xml:space="preserve">. </w:t>
            </w:r>
            <w:r w:rsidRPr="00FD2FE6">
              <w:rPr>
                <w:rFonts w:cstheme="minorHAnsi"/>
                <w:i/>
                <w:iCs/>
              </w:rPr>
              <w:t>The Conversation</w:t>
            </w:r>
            <w:r>
              <w:rPr>
                <w:rFonts w:cstheme="minorHAnsi"/>
              </w:rPr>
              <w:t>.</w:t>
            </w:r>
          </w:p>
          <w:p w14:paraId="32F3234D" w14:textId="47D0BC6F" w:rsidR="00F24E13" w:rsidRPr="009D6194" w:rsidRDefault="00F24E13" w:rsidP="00DA76AC">
            <w:pPr>
              <w:spacing w:after="0"/>
              <w:rPr>
                <w:rFonts w:cstheme="minorHAnsi"/>
              </w:rPr>
            </w:pPr>
            <w:r>
              <w:rPr>
                <w:rFonts w:cstheme="minorHAnsi"/>
              </w:rPr>
              <w:t xml:space="preserve">King, D. (2019). </w:t>
            </w:r>
            <w:hyperlink r:id="rId21" w:history="1">
              <w:r w:rsidR="00FD2FE6" w:rsidRPr="00FD2FE6">
                <w:rPr>
                  <w:rStyle w:val="Hyperlink"/>
                  <w:rFonts w:cstheme="minorHAnsi"/>
                </w:rPr>
                <w:t>Going global: Comparing faith and philanthropy at home and abroad</w:t>
              </w:r>
            </w:hyperlink>
            <w:r w:rsidR="00FD2FE6">
              <w:rPr>
                <w:rFonts w:cstheme="minorHAnsi"/>
              </w:rPr>
              <w:t>.</w:t>
            </w:r>
            <w:r w:rsidR="00FD2FE6" w:rsidRPr="00FD2FE6">
              <w:rPr>
                <w:rFonts w:cstheme="minorHAnsi"/>
                <w:i/>
                <w:iCs/>
              </w:rPr>
              <w:t xml:space="preserve"> Social Science Research Council</w:t>
            </w:r>
            <w:r w:rsidR="00FD2FE6">
              <w:rPr>
                <w:rFonts w:cstheme="minorHAnsi"/>
              </w:rPr>
              <w:t>.</w:t>
            </w:r>
          </w:p>
        </w:tc>
        <w:tc>
          <w:tcPr>
            <w:tcW w:w="3150" w:type="dxa"/>
          </w:tcPr>
          <w:p w14:paraId="349E0FE0" w14:textId="77777777" w:rsidR="00AF5309" w:rsidRPr="00335B69" w:rsidRDefault="00AF5309" w:rsidP="00DA76AC">
            <w:pPr>
              <w:spacing w:after="0"/>
              <w:rPr>
                <w:rFonts w:cstheme="minorHAnsi"/>
                <w:b/>
                <w:bCs/>
              </w:rPr>
            </w:pPr>
          </w:p>
        </w:tc>
        <w:tc>
          <w:tcPr>
            <w:tcW w:w="4045" w:type="dxa"/>
          </w:tcPr>
          <w:p w14:paraId="26FA86E9" w14:textId="7303CE2A" w:rsidR="00AF5309" w:rsidRPr="00335B69" w:rsidRDefault="00F11704" w:rsidP="00DA76AC">
            <w:pPr>
              <w:spacing w:after="0"/>
              <w:rPr>
                <w:rFonts w:cstheme="minorHAnsi"/>
                <w:b/>
                <w:bCs/>
              </w:rPr>
            </w:pPr>
            <w:r>
              <w:rPr>
                <w:rFonts w:cstheme="minorHAnsi"/>
                <w:b/>
                <w:bCs/>
              </w:rPr>
              <w:t xml:space="preserve">Class facilitated by Ms. Branyon. </w:t>
            </w:r>
          </w:p>
        </w:tc>
      </w:tr>
      <w:tr w:rsidR="00AF5309" w:rsidRPr="004F4616" w14:paraId="380B6483" w14:textId="77777777" w:rsidTr="00E415F4">
        <w:tc>
          <w:tcPr>
            <w:tcW w:w="805" w:type="dxa"/>
            <w:vMerge w:val="restart"/>
          </w:tcPr>
          <w:p w14:paraId="73EF5215" w14:textId="77777777" w:rsidR="00AF5309" w:rsidRPr="004F4616" w:rsidRDefault="00AF5309" w:rsidP="00DA76AC">
            <w:pPr>
              <w:spacing w:after="0"/>
              <w:jc w:val="center"/>
              <w:rPr>
                <w:rFonts w:cstheme="minorHAnsi"/>
              </w:rPr>
            </w:pPr>
            <w:r w:rsidRPr="004F4616">
              <w:rPr>
                <w:rFonts w:cstheme="minorHAnsi"/>
              </w:rPr>
              <w:t>Week 13</w:t>
            </w:r>
          </w:p>
        </w:tc>
        <w:tc>
          <w:tcPr>
            <w:tcW w:w="810" w:type="dxa"/>
          </w:tcPr>
          <w:p w14:paraId="3F2CEF62" w14:textId="77777777" w:rsidR="00AF5309" w:rsidRPr="004F4616" w:rsidRDefault="00AF5309" w:rsidP="00DA76AC">
            <w:pPr>
              <w:spacing w:after="0"/>
              <w:rPr>
                <w:rFonts w:cstheme="minorHAnsi"/>
              </w:rPr>
            </w:pPr>
            <w:r w:rsidRPr="004F4616">
              <w:rPr>
                <w:rFonts w:cstheme="minorHAnsi"/>
              </w:rPr>
              <w:t>11/</w:t>
            </w:r>
            <w:r>
              <w:rPr>
                <w:rFonts w:cstheme="minorHAnsi"/>
              </w:rPr>
              <w:t>9</w:t>
            </w:r>
          </w:p>
        </w:tc>
        <w:tc>
          <w:tcPr>
            <w:tcW w:w="990" w:type="dxa"/>
          </w:tcPr>
          <w:p w14:paraId="39E850E7" w14:textId="2BCD9F64" w:rsidR="00AF5309" w:rsidRPr="004F4616" w:rsidRDefault="00AF5309" w:rsidP="00DA76AC">
            <w:pPr>
              <w:spacing w:after="0"/>
              <w:rPr>
                <w:rFonts w:cstheme="minorHAnsi"/>
              </w:rPr>
            </w:pPr>
            <w:r>
              <w:rPr>
                <w:rFonts w:cstheme="minorHAnsi"/>
              </w:rPr>
              <w:t>The dynast</w:t>
            </w:r>
          </w:p>
        </w:tc>
        <w:tc>
          <w:tcPr>
            <w:tcW w:w="3150" w:type="dxa"/>
          </w:tcPr>
          <w:p w14:paraId="207480A4" w14:textId="3521A293" w:rsidR="00AF5309" w:rsidRPr="004F4616" w:rsidRDefault="005D5536" w:rsidP="00DA76AC">
            <w:pPr>
              <w:spacing w:after="0"/>
              <w:rPr>
                <w:rFonts w:cstheme="minorHAnsi"/>
              </w:rPr>
            </w:pPr>
            <w:r>
              <w:rPr>
                <w:rFonts w:cstheme="minorHAnsi"/>
              </w:rPr>
              <w:t xml:space="preserve">Marsh, J. (2016). </w:t>
            </w:r>
            <w:hyperlink r:id="rId22" w:history="1">
              <w:r w:rsidRPr="005D5536">
                <w:rPr>
                  <w:rStyle w:val="Hyperlink"/>
                  <w:rFonts w:cstheme="minorHAnsi"/>
                </w:rPr>
                <w:t>How to Help Kids Learn to Love Giving</w:t>
              </w:r>
            </w:hyperlink>
            <w:r>
              <w:rPr>
                <w:rFonts w:cstheme="minorHAnsi"/>
              </w:rPr>
              <w:t xml:space="preserve">. </w:t>
            </w:r>
            <w:r w:rsidRPr="005D5536">
              <w:rPr>
                <w:rFonts w:cstheme="minorHAnsi"/>
                <w:i/>
                <w:iCs/>
              </w:rPr>
              <w:t>Greater Good Magazine</w:t>
            </w:r>
            <w:r>
              <w:rPr>
                <w:rFonts w:cstheme="minorHAnsi"/>
              </w:rPr>
              <w:t>.</w:t>
            </w:r>
          </w:p>
        </w:tc>
        <w:tc>
          <w:tcPr>
            <w:tcW w:w="3150" w:type="dxa"/>
          </w:tcPr>
          <w:p w14:paraId="3077DB70" w14:textId="592B0044" w:rsidR="00AF5309" w:rsidRPr="004F4616" w:rsidRDefault="003B20AF" w:rsidP="00DA76AC">
            <w:pPr>
              <w:spacing w:after="0"/>
              <w:rPr>
                <w:rFonts w:cstheme="minorHAnsi"/>
              </w:rPr>
            </w:pPr>
            <w:r w:rsidRPr="00B94034">
              <w:rPr>
                <w:rFonts w:cstheme="minorHAnsi"/>
                <w:i/>
                <w:iCs/>
              </w:rPr>
              <w:t>Question</w:t>
            </w:r>
            <w:r w:rsidR="003A4AFB">
              <w:rPr>
                <w:rFonts w:cstheme="minorHAnsi"/>
                <w:i/>
                <w:iCs/>
              </w:rPr>
              <w:t xml:space="preserve"> 9</w:t>
            </w:r>
            <w:r w:rsidR="00B94034" w:rsidRPr="00B94034">
              <w:rPr>
                <w:rFonts w:cstheme="minorHAnsi"/>
                <w:i/>
                <w:iCs/>
              </w:rPr>
              <w:t>:</w:t>
            </w:r>
            <w:r w:rsidR="00B94034">
              <w:rPr>
                <w:rFonts w:cstheme="minorHAnsi"/>
              </w:rPr>
              <w:t xml:space="preserve"> Who or what influenced your approach to giving and/or volunteering? </w:t>
            </w:r>
          </w:p>
        </w:tc>
        <w:tc>
          <w:tcPr>
            <w:tcW w:w="4045" w:type="dxa"/>
          </w:tcPr>
          <w:p w14:paraId="48747DD0" w14:textId="7709C385" w:rsidR="00AF5309" w:rsidRPr="004F4616" w:rsidRDefault="003A4AFB" w:rsidP="00DA76AC">
            <w:pPr>
              <w:spacing w:after="0"/>
              <w:rPr>
                <w:rFonts w:cstheme="minorHAnsi"/>
              </w:rPr>
            </w:pPr>
            <w:r w:rsidRPr="003A4AFB">
              <w:rPr>
                <w:rFonts w:cstheme="minorHAnsi"/>
                <w:b/>
                <w:bCs/>
              </w:rPr>
              <w:t>Video analysis:</w:t>
            </w:r>
            <w:r>
              <w:rPr>
                <w:rFonts w:cstheme="minorHAnsi"/>
              </w:rPr>
              <w:t xml:space="preserve"> </w:t>
            </w:r>
            <w:hyperlink r:id="rId23" w:history="1">
              <w:r w:rsidR="00117188" w:rsidRPr="003A4AFB">
                <w:rPr>
                  <w:rStyle w:val="Hyperlink"/>
                  <w:rFonts w:cstheme="minorHAnsi"/>
                </w:rPr>
                <w:t>Bill and Melinda Gates: Why giving away our wealth has been the most satisfying thing we've done</w:t>
              </w:r>
            </w:hyperlink>
          </w:p>
        </w:tc>
      </w:tr>
      <w:tr w:rsidR="00AF5309" w:rsidRPr="004F4616" w14:paraId="66A344E5" w14:textId="77777777" w:rsidTr="00E415F4">
        <w:tc>
          <w:tcPr>
            <w:tcW w:w="805" w:type="dxa"/>
            <w:vMerge/>
          </w:tcPr>
          <w:p w14:paraId="281BC82A" w14:textId="77777777" w:rsidR="00AF5309" w:rsidRPr="004F4616" w:rsidRDefault="00AF5309" w:rsidP="00DA76AC">
            <w:pPr>
              <w:spacing w:after="0"/>
              <w:jc w:val="center"/>
              <w:rPr>
                <w:rFonts w:cstheme="minorHAnsi"/>
              </w:rPr>
            </w:pPr>
          </w:p>
        </w:tc>
        <w:tc>
          <w:tcPr>
            <w:tcW w:w="810" w:type="dxa"/>
          </w:tcPr>
          <w:p w14:paraId="4CDAAD2D" w14:textId="77777777" w:rsidR="00AF5309" w:rsidRPr="004F4616" w:rsidRDefault="00AF5309" w:rsidP="00DA76AC">
            <w:pPr>
              <w:spacing w:after="0"/>
              <w:rPr>
                <w:rFonts w:cstheme="minorHAnsi"/>
              </w:rPr>
            </w:pPr>
            <w:r>
              <w:rPr>
                <w:rFonts w:cstheme="minorHAnsi"/>
              </w:rPr>
              <w:t>11/11</w:t>
            </w:r>
          </w:p>
        </w:tc>
        <w:tc>
          <w:tcPr>
            <w:tcW w:w="990" w:type="dxa"/>
          </w:tcPr>
          <w:p w14:paraId="7C3280D8" w14:textId="0A688BD5" w:rsidR="00AF5309" w:rsidRPr="004F4616" w:rsidRDefault="00AF5309" w:rsidP="00DA76AC">
            <w:pPr>
              <w:spacing w:after="0"/>
              <w:rPr>
                <w:rFonts w:cstheme="minorHAnsi"/>
              </w:rPr>
            </w:pPr>
            <w:r>
              <w:rPr>
                <w:rFonts w:cstheme="minorHAnsi"/>
              </w:rPr>
              <w:t xml:space="preserve">The </w:t>
            </w:r>
            <w:proofErr w:type="spellStart"/>
            <w:r w:rsidRPr="00CA2DA0">
              <w:rPr>
                <w:rFonts w:cstheme="minorHAnsi"/>
              </w:rPr>
              <w:t>repayer</w:t>
            </w:r>
            <w:proofErr w:type="spellEnd"/>
          </w:p>
        </w:tc>
        <w:tc>
          <w:tcPr>
            <w:tcW w:w="3150" w:type="dxa"/>
          </w:tcPr>
          <w:p w14:paraId="3885D515" w14:textId="3FA24716" w:rsidR="00AF5309" w:rsidRPr="004F4616" w:rsidRDefault="00574A9A" w:rsidP="00574A9A">
            <w:pPr>
              <w:spacing w:after="0"/>
              <w:rPr>
                <w:rFonts w:cstheme="minorHAnsi"/>
              </w:rPr>
            </w:pPr>
            <w:r>
              <w:rPr>
                <w:rFonts w:cstheme="minorHAnsi"/>
              </w:rPr>
              <w:t xml:space="preserve">Fidelity Charitable, </w:t>
            </w:r>
            <w:hyperlink r:id="rId24" w:history="1">
              <w:r w:rsidRPr="00574A9A">
                <w:rPr>
                  <w:rStyle w:val="Hyperlink"/>
                  <w:rFonts w:cstheme="minorHAnsi"/>
                </w:rPr>
                <w:t>The future of philanthropy: The evolution from charitable giving to charitable living</w:t>
              </w:r>
            </w:hyperlink>
            <w:r>
              <w:rPr>
                <w:rFonts w:cstheme="minorHAnsi"/>
              </w:rPr>
              <w:t xml:space="preserve">. (On the website, view the pages: </w:t>
            </w:r>
            <w:hyperlink r:id="rId25" w:history="1">
              <w:r w:rsidRPr="00574A9A">
                <w:rPr>
                  <w:rStyle w:val="Hyperlink"/>
                  <w:rFonts w:cstheme="minorHAnsi"/>
                </w:rPr>
                <w:t>A new mindset changes donors' relationship with philanthropy</w:t>
              </w:r>
            </w:hyperlink>
            <w:r>
              <w:rPr>
                <w:rFonts w:cstheme="minorHAnsi"/>
              </w:rPr>
              <w:t xml:space="preserve">; </w:t>
            </w:r>
            <w:hyperlink r:id="rId26" w:history="1">
              <w:r w:rsidRPr="00574A9A">
                <w:rPr>
                  <w:rStyle w:val="Hyperlink"/>
                  <w:rFonts w:cstheme="minorHAnsi"/>
                </w:rPr>
                <w:t>The new definition of philanthropy</w:t>
              </w:r>
            </w:hyperlink>
            <w:r>
              <w:rPr>
                <w:rFonts w:cstheme="minorHAnsi"/>
              </w:rPr>
              <w:t xml:space="preserve">; and </w:t>
            </w:r>
            <w:hyperlink r:id="rId27" w:history="1">
              <w:r w:rsidRPr="00574A9A">
                <w:rPr>
                  <w:rStyle w:val="Hyperlink"/>
                  <w:rFonts w:cstheme="minorHAnsi"/>
                </w:rPr>
                <w:t>Donors bet on multifaceted solutions to the world’s great challenges</w:t>
              </w:r>
            </w:hyperlink>
          </w:p>
        </w:tc>
        <w:tc>
          <w:tcPr>
            <w:tcW w:w="3150" w:type="dxa"/>
          </w:tcPr>
          <w:p w14:paraId="014C4ECA" w14:textId="36D4B0BF" w:rsidR="00AF5309" w:rsidRPr="00B00DAF" w:rsidRDefault="00AF5309" w:rsidP="00DA76AC">
            <w:pPr>
              <w:spacing w:after="0"/>
              <w:rPr>
                <w:rFonts w:cstheme="minorHAnsi"/>
                <w:u w:val="single"/>
              </w:rPr>
            </w:pPr>
          </w:p>
        </w:tc>
        <w:tc>
          <w:tcPr>
            <w:tcW w:w="4045" w:type="dxa"/>
          </w:tcPr>
          <w:p w14:paraId="67774BC9" w14:textId="4118498E" w:rsidR="00AF5309" w:rsidRPr="00335B69" w:rsidRDefault="00D32479" w:rsidP="00DA76AC">
            <w:pPr>
              <w:spacing w:after="0"/>
              <w:rPr>
                <w:rFonts w:cstheme="minorHAnsi"/>
                <w:b/>
                <w:bCs/>
              </w:rPr>
            </w:pPr>
            <w:r w:rsidRPr="00D32479">
              <w:rPr>
                <w:rFonts w:cstheme="minorHAnsi"/>
                <w:b/>
                <w:bCs/>
              </w:rPr>
              <w:t>Class facilitated by Ms. Branyon.</w:t>
            </w:r>
          </w:p>
        </w:tc>
      </w:tr>
      <w:tr w:rsidR="00915316" w:rsidRPr="004F4616" w14:paraId="619F06B4" w14:textId="77777777" w:rsidTr="00E415F4">
        <w:tc>
          <w:tcPr>
            <w:tcW w:w="805" w:type="dxa"/>
            <w:vMerge w:val="restart"/>
          </w:tcPr>
          <w:p w14:paraId="2096F98F" w14:textId="77777777" w:rsidR="00915316" w:rsidRPr="004F4616" w:rsidRDefault="00915316" w:rsidP="00DA76AC">
            <w:pPr>
              <w:spacing w:after="0"/>
              <w:jc w:val="center"/>
              <w:rPr>
                <w:rFonts w:cstheme="minorHAnsi"/>
              </w:rPr>
            </w:pPr>
            <w:r w:rsidRPr="004F4616">
              <w:rPr>
                <w:rFonts w:cstheme="minorHAnsi"/>
              </w:rPr>
              <w:t>Week 14</w:t>
            </w:r>
          </w:p>
        </w:tc>
        <w:tc>
          <w:tcPr>
            <w:tcW w:w="810" w:type="dxa"/>
          </w:tcPr>
          <w:p w14:paraId="5AF099CC" w14:textId="77777777" w:rsidR="00915316" w:rsidRPr="004F4616" w:rsidRDefault="00915316" w:rsidP="00DA76AC">
            <w:pPr>
              <w:spacing w:after="0"/>
              <w:rPr>
                <w:rFonts w:cstheme="minorHAnsi"/>
              </w:rPr>
            </w:pPr>
            <w:r w:rsidRPr="004F4616">
              <w:rPr>
                <w:rFonts w:cstheme="minorHAnsi"/>
              </w:rPr>
              <w:t>11/1</w:t>
            </w:r>
            <w:r>
              <w:rPr>
                <w:rFonts w:cstheme="minorHAnsi"/>
              </w:rPr>
              <w:t>6</w:t>
            </w:r>
          </w:p>
        </w:tc>
        <w:tc>
          <w:tcPr>
            <w:tcW w:w="990" w:type="dxa"/>
          </w:tcPr>
          <w:p w14:paraId="5B48FF73" w14:textId="39430D59" w:rsidR="00915316" w:rsidRPr="004F4616" w:rsidRDefault="00AF5309" w:rsidP="00DA76AC">
            <w:pPr>
              <w:spacing w:after="0"/>
              <w:rPr>
                <w:rFonts w:cstheme="minorHAnsi"/>
              </w:rPr>
            </w:pPr>
            <w:r>
              <w:rPr>
                <w:rFonts w:cstheme="minorHAnsi"/>
              </w:rPr>
              <w:t>The investor</w:t>
            </w:r>
          </w:p>
        </w:tc>
        <w:tc>
          <w:tcPr>
            <w:tcW w:w="3150" w:type="dxa"/>
          </w:tcPr>
          <w:p w14:paraId="1A7CBE8A" w14:textId="10416058" w:rsidR="00915316" w:rsidRPr="004F4616" w:rsidRDefault="005D5536" w:rsidP="00DA76AC">
            <w:pPr>
              <w:spacing w:after="0"/>
              <w:rPr>
                <w:rFonts w:cstheme="minorHAnsi"/>
              </w:rPr>
            </w:pPr>
            <w:proofErr w:type="spellStart"/>
            <w:r>
              <w:rPr>
                <w:rFonts w:cstheme="minorHAnsi"/>
              </w:rPr>
              <w:t>Goldfseker</w:t>
            </w:r>
            <w:proofErr w:type="spellEnd"/>
            <w:r>
              <w:rPr>
                <w:rFonts w:cstheme="minorHAnsi"/>
              </w:rPr>
              <w:t xml:space="preserve">, S. </w:t>
            </w:r>
            <w:r w:rsidR="009B2181">
              <w:rPr>
                <w:rFonts w:cstheme="minorHAnsi"/>
              </w:rPr>
              <w:t xml:space="preserve">&amp; </w:t>
            </w:r>
            <w:r>
              <w:rPr>
                <w:rFonts w:cstheme="minorHAnsi"/>
              </w:rPr>
              <w:t xml:space="preserve">Moody, M. (2017). </w:t>
            </w:r>
            <w:hyperlink r:id="rId28" w:history="1">
              <w:r w:rsidRPr="005D5536">
                <w:rPr>
                  <w:rStyle w:val="Hyperlink"/>
                  <w:rFonts w:cstheme="minorHAnsi"/>
                </w:rPr>
                <w:t>Show Me the Impact</w:t>
              </w:r>
            </w:hyperlink>
            <w:r>
              <w:rPr>
                <w:rFonts w:cstheme="minorHAnsi"/>
              </w:rPr>
              <w:t xml:space="preserve">. </w:t>
            </w:r>
            <w:r w:rsidRPr="005D5536">
              <w:rPr>
                <w:rFonts w:cstheme="minorHAnsi"/>
                <w:i/>
                <w:iCs/>
              </w:rPr>
              <w:t>Stanford Social Innovation Review</w:t>
            </w:r>
            <w:r>
              <w:rPr>
                <w:rFonts w:cstheme="minorHAnsi"/>
              </w:rPr>
              <w:t>.</w:t>
            </w:r>
          </w:p>
        </w:tc>
        <w:tc>
          <w:tcPr>
            <w:tcW w:w="3150" w:type="dxa"/>
          </w:tcPr>
          <w:p w14:paraId="3EA66CDB" w14:textId="32112731" w:rsidR="00915316" w:rsidRPr="004F4616" w:rsidRDefault="003B20AF" w:rsidP="00DA76AC">
            <w:pPr>
              <w:spacing w:after="0"/>
              <w:rPr>
                <w:rFonts w:cstheme="minorHAnsi"/>
              </w:rPr>
            </w:pPr>
            <w:r w:rsidRPr="003A4AFB">
              <w:rPr>
                <w:rFonts w:cstheme="minorHAnsi"/>
                <w:i/>
                <w:iCs/>
              </w:rPr>
              <w:t>Question</w:t>
            </w:r>
            <w:r w:rsidR="003A4AFB" w:rsidRPr="003A4AFB">
              <w:rPr>
                <w:rFonts w:cstheme="minorHAnsi"/>
                <w:i/>
                <w:iCs/>
              </w:rPr>
              <w:t xml:space="preserve"> 10:</w:t>
            </w:r>
            <w:r w:rsidR="003A4AFB">
              <w:rPr>
                <w:rFonts w:cstheme="minorHAnsi"/>
              </w:rPr>
              <w:t xml:space="preserve"> What does impactful (or successful) philanthropy mean to you? </w:t>
            </w:r>
          </w:p>
        </w:tc>
        <w:tc>
          <w:tcPr>
            <w:tcW w:w="4045" w:type="dxa"/>
          </w:tcPr>
          <w:p w14:paraId="5F856641" w14:textId="325CE42B" w:rsidR="00117188" w:rsidRDefault="00117188" w:rsidP="00DA76AC">
            <w:pPr>
              <w:spacing w:after="0"/>
            </w:pPr>
            <w:r w:rsidRPr="003A4AFB">
              <w:rPr>
                <w:rFonts w:cstheme="minorHAnsi"/>
                <w:b/>
                <w:bCs/>
              </w:rPr>
              <w:t>Video</w:t>
            </w:r>
            <w:r w:rsidR="003A4AFB" w:rsidRPr="003A4AFB">
              <w:rPr>
                <w:rFonts w:cstheme="minorHAnsi"/>
                <w:b/>
                <w:bCs/>
              </w:rPr>
              <w:t xml:space="preserve"> analysis</w:t>
            </w:r>
            <w:r w:rsidRPr="003A4AFB">
              <w:rPr>
                <w:rFonts w:cstheme="minorHAnsi"/>
                <w:b/>
                <w:bCs/>
              </w:rPr>
              <w:t>:</w:t>
            </w:r>
            <w:r>
              <w:rPr>
                <w:rFonts w:cstheme="minorHAnsi"/>
              </w:rPr>
              <w:t xml:space="preserve"> </w:t>
            </w:r>
            <w:r>
              <w:t>If you had $100 billion to give away, how would you spend it?</w:t>
            </w:r>
          </w:p>
          <w:p w14:paraId="11AAD44B" w14:textId="583E0CFF" w:rsidR="00915316" w:rsidRPr="004F4616" w:rsidRDefault="00117188" w:rsidP="00DA76AC">
            <w:pPr>
              <w:spacing w:after="0"/>
              <w:rPr>
                <w:rFonts w:cstheme="minorHAnsi"/>
              </w:rPr>
            </w:pPr>
            <w:r w:rsidRPr="003A4AFB">
              <w:rPr>
                <w:rFonts w:cstheme="minorHAnsi"/>
                <w:b/>
                <w:bCs/>
              </w:rPr>
              <w:t>Activity:</w:t>
            </w:r>
            <w:r w:rsidRPr="00346F1D">
              <w:rPr>
                <w:rFonts w:cstheme="minorHAnsi"/>
              </w:rPr>
              <w:t xml:space="preserve"> Million-Dollar Visioning</w:t>
            </w:r>
          </w:p>
        </w:tc>
      </w:tr>
      <w:tr w:rsidR="003B20AF" w:rsidRPr="004F4616" w14:paraId="27D919D2" w14:textId="77777777" w:rsidTr="00241141">
        <w:tc>
          <w:tcPr>
            <w:tcW w:w="805" w:type="dxa"/>
            <w:vMerge/>
          </w:tcPr>
          <w:p w14:paraId="2CD10FD8" w14:textId="77777777" w:rsidR="003B20AF" w:rsidRPr="004F4616" w:rsidRDefault="003B20AF" w:rsidP="00DA76AC">
            <w:pPr>
              <w:spacing w:after="0"/>
              <w:jc w:val="center"/>
              <w:rPr>
                <w:rFonts w:cstheme="minorHAnsi"/>
              </w:rPr>
            </w:pPr>
          </w:p>
        </w:tc>
        <w:tc>
          <w:tcPr>
            <w:tcW w:w="810" w:type="dxa"/>
          </w:tcPr>
          <w:p w14:paraId="6B598CE2" w14:textId="77777777" w:rsidR="003B20AF" w:rsidRPr="004F4616" w:rsidRDefault="003B20AF" w:rsidP="00DA76AC">
            <w:pPr>
              <w:spacing w:after="0"/>
              <w:rPr>
                <w:rFonts w:cstheme="minorHAnsi"/>
              </w:rPr>
            </w:pPr>
            <w:r>
              <w:rPr>
                <w:rFonts w:cstheme="minorHAnsi"/>
              </w:rPr>
              <w:t>11/18</w:t>
            </w:r>
          </w:p>
        </w:tc>
        <w:tc>
          <w:tcPr>
            <w:tcW w:w="11335" w:type="dxa"/>
            <w:gridSpan w:val="4"/>
          </w:tcPr>
          <w:p w14:paraId="49FA714B" w14:textId="7D322459" w:rsidR="003B20AF" w:rsidRPr="00335B69" w:rsidRDefault="00DC4F6C" w:rsidP="00DA76AC">
            <w:pPr>
              <w:spacing w:after="0"/>
              <w:rPr>
                <w:rFonts w:cstheme="minorHAnsi"/>
                <w:b/>
                <w:bCs/>
              </w:rPr>
            </w:pPr>
            <w:r>
              <w:rPr>
                <w:rFonts w:cstheme="minorHAnsi"/>
                <w:b/>
                <w:bCs/>
              </w:rPr>
              <w:t>Exam</w:t>
            </w:r>
            <w:r w:rsidR="003B20AF">
              <w:rPr>
                <w:rFonts w:cstheme="minorHAnsi"/>
                <w:b/>
                <w:bCs/>
              </w:rPr>
              <w:t xml:space="preserve"> #3</w:t>
            </w:r>
          </w:p>
        </w:tc>
      </w:tr>
      <w:tr w:rsidR="00915316" w:rsidRPr="004F4616" w14:paraId="17CC5D1C" w14:textId="77777777" w:rsidTr="00241141">
        <w:tc>
          <w:tcPr>
            <w:tcW w:w="805" w:type="dxa"/>
            <w:vMerge w:val="restart"/>
            <w:shd w:val="clear" w:color="auto" w:fill="70AD47" w:themeFill="accent6"/>
          </w:tcPr>
          <w:p w14:paraId="4EC06362" w14:textId="77777777" w:rsidR="00915316" w:rsidRPr="004F4616" w:rsidRDefault="00915316" w:rsidP="00DA76AC">
            <w:pPr>
              <w:spacing w:after="0"/>
              <w:jc w:val="center"/>
              <w:rPr>
                <w:rFonts w:cstheme="minorHAnsi"/>
              </w:rPr>
            </w:pPr>
            <w:r w:rsidRPr="004F4616">
              <w:rPr>
                <w:rFonts w:cstheme="minorHAnsi"/>
              </w:rPr>
              <w:t>Week 15</w:t>
            </w:r>
          </w:p>
        </w:tc>
        <w:tc>
          <w:tcPr>
            <w:tcW w:w="810" w:type="dxa"/>
            <w:shd w:val="clear" w:color="auto" w:fill="70AD47" w:themeFill="accent6"/>
          </w:tcPr>
          <w:p w14:paraId="45B17520" w14:textId="77777777" w:rsidR="00915316" w:rsidRPr="004F4616" w:rsidRDefault="00915316" w:rsidP="00DA76AC">
            <w:pPr>
              <w:spacing w:after="0"/>
              <w:rPr>
                <w:rFonts w:cstheme="minorHAnsi"/>
              </w:rPr>
            </w:pPr>
            <w:r w:rsidRPr="004F4616">
              <w:rPr>
                <w:rFonts w:cstheme="minorHAnsi"/>
              </w:rPr>
              <w:t>11/</w:t>
            </w:r>
            <w:r>
              <w:rPr>
                <w:rFonts w:cstheme="minorHAnsi"/>
              </w:rPr>
              <w:t>23</w:t>
            </w:r>
          </w:p>
        </w:tc>
        <w:tc>
          <w:tcPr>
            <w:tcW w:w="11335" w:type="dxa"/>
            <w:gridSpan w:val="4"/>
            <w:vMerge w:val="restart"/>
            <w:shd w:val="clear" w:color="auto" w:fill="70AD47" w:themeFill="accent6"/>
            <w:vAlign w:val="center"/>
          </w:tcPr>
          <w:p w14:paraId="43E73440" w14:textId="77FFF538" w:rsidR="00915316" w:rsidRPr="004F4616" w:rsidRDefault="00AE56EA" w:rsidP="00DA76AC">
            <w:pPr>
              <w:spacing w:after="0"/>
              <w:jc w:val="center"/>
              <w:rPr>
                <w:rFonts w:cstheme="minorHAnsi"/>
              </w:rPr>
            </w:pPr>
            <w:r>
              <w:rPr>
                <w:rFonts w:cstheme="minorHAnsi"/>
              </w:rPr>
              <w:t>Thanksgiving</w:t>
            </w:r>
            <w:r w:rsidR="00915316">
              <w:rPr>
                <w:rFonts w:cstheme="minorHAnsi"/>
              </w:rPr>
              <w:t xml:space="preserve"> Break</w:t>
            </w:r>
          </w:p>
        </w:tc>
      </w:tr>
      <w:tr w:rsidR="00915316" w:rsidRPr="004F4616" w14:paraId="5FFC0BF5" w14:textId="77777777" w:rsidTr="00241141">
        <w:tc>
          <w:tcPr>
            <w:tcW w:w="805" w:type="dxa"/>
            <w:vMerge/>
          </w:tcPr>
          <w:p w14:paraId="161CB731" w14:textId="77777777" w:rsidR="00915316" w:rsidRPr="004F4616" w:rsidRDefault="00915316" w:rsidP="00DA76AC">
            <w:pPr>
              <w:spacing w:after="0"/>
              <w:jc w:val="center"/>
              <w:rPr>
                <w:rFonts w:cstheme="minorHAnsi"/>
              </w:rPr>
            </w:pPr>
          </w:p>
        </w:tc>
        <w:tc>
          <w:tcPr>
            <w:tcW w:w="810" w:type="dxa"/>
            <w:shd w:val="clear" w:color="auto" w:fill="70AD47" w:themeFill="accent6"/>
          </w:tcPr>
          <w:p w14:paraId="66AC993B" w14:textId="77777777" w:rsidR="00915316" w:rsidRPr="004F4616" w:rsidRDefault="00915316" w:rsidP="00DA76AC">
            <w:pPr>
              <w:spacing w:after="0"/>
              <w:rPr>
                <w:rFonts w:cstheme="minorHAnsi"/>
              </w:rPr>
            </w:pPr>
            <w:r>
              <w:rPr>
                <w:rFonts w:cstheme="minorHAnsi"/>
              </w:rPr>
              <w:t>11/25</w:t>
            </w:r>
          </w:p>
        </w:tc>
        <w:tc>
          <w:tcPr>
            <w:tcW w:w="11335" w:type="dxa"/>
            <w:gridSpan w:val="4"/>
            <w:vMerge/>
          </w:tcPr>
          <w:p w14:paraId="067F62C0" w14:textId="77777777" w:rsidR="00915316" w:rsidRPr="004F4616" w:rsidRDefault="00915316" w:rsidP="00DA76AC">
            <w:pPr>
              <w:spacing w:after="0"/>
              <w:rPr>
                <w:rFonts w:cstheme="minorHAnsi"/>
              </w:rPr>
            </w:pPr>
          </w:p>
        </w:tc>
      </w:tr>
      <w:tr w:rsidR="00CA2DA0" w:rsidRPr="004F4616" w14:paraId="6B2EDBB7" w14:textId="77777777" w:rsidTr="00241141">
        <w:tc>
          <w:tcPr>
            <w:tcW w:w="805" w:type="dxa"/>
            <w:vMerge w:val="restart"/>
          </w:tcPr>
          <w:p w14:paraId="63639649" w14:textId="77777777" w:rsidR="00CA2DA0" w:rsidRPr="004F4616" w:rsidRDefault="00CA2DA0" w:rsidP="00DA76AC">
            <w:pPr>
              <w:spacing w:after="0"/>
              <w:jc w:val="center"/>
              <w:rPr>
                <w:rFonts w:cstheme="minorHAnsi"/>
              </w:rPr>
            </w:pPr>
            <w:r w:rsidRPr="00D40B75">
              <w:rPr>
                <w:rFonts w:cstheme="minorHAnsi"/>
              </w:rPr>
              <w:t>Week 1</w:t>
            </w:r>
            <w:r>
              <w:rPr>
                <w:rFonts w:cstheme="minorHAnsi"/>
              </w:rPr>
              <w:t>6</w:t>
            </w:r>
          </w:p>
        </w:tc>
        <w:tc>
          <w:tcPr>
            <w:tcW w:w="810" w:type="dxa"/>
          </w:tcPr>
          <w:p w14:paraId="7E895804" w14:textId="77777777" w:rsidR="00CA2DA0" w:rsidRDefault="00CA2DA0" w:rsidP="00DA76AC">
            <w:pPr>
              <w:spacing w:after="0"/>
              <w:rPr>
                <w:rFonts w:cstheme="minorHAnsi"/>
              </w:rPr>
            </w:pPr>
            <w:r>
              <w:rPr>
                <w:rFonts w:cstheme="minorHAnsi"/>
              </w:rPr>
              <w:t>11/30</w:t>
            </w:r>
          </w:p>
        </w:tc>
        <w:tc>
          <w:tcPr>
            <w:tcW w:w="11335" w:type="dxa"/>
            <w:gridSpan w:val="4"/>
          </w:tcPr>
          <w:p w14:paraId="5B9E83B0" w14:textId="0FE2A1A7" w:rsidR="00CA2DA0" w:rsidRPr="004F4616" w:rsidRDefault="00CA2DA0" w:rsidP="00DA76AC">
            <w:pPr>
              <w:spacing w:after="0"/>
              <w:rPr>
                <w:rFonts w:cstheme="minorHAnsi"/>
              </w:rPr>
            </w:pPr>
            <w:r w:rsidRPr="00CA2DA0">
              <w:rPr>
                <w:rFonts w:cstheme="minorHAnsi"/>
              </w:rPr>
              <w:t>Presentations</w:t>
            </w:r>
            <w:r w:rsidR="00305022">
              <w:rPr>
                <w:rFonts w:cstheme="minorHAnsi"/>
              </w:rPr>
              <w:t xml:space="preserve"> (Service learning)</w:t>
            </w:r>
          </w:p>
        </w:tc>
      </w:tr>
      <w:tr w:rsidR="00CA2DA0" w:rsidRPr="004F4616" w14:paraId="2F462CE0" w14:textId="77777777" w:rsidTr="00241141">
        <w:tc>
          <w:tcPr>
            <w:tcW w:w="805" w:type="dxa"/>
            <w:vMerge/>
          </w:tcPr>
          <w:p w14:paraId="7FAFE114" w14:textId="77777777" w:rsidR="00CA2DA0" w:rsidRPr="004F4616" w:rsidRDefault="00CA2DA0" w:rsidP="00DA76AC">
            <w:pPr>
              <w:spacing w:after="0"/>
              <w:jc w:val="center"/>
              <w:rPr>
                <w:rFonts w:cstheme="minorHAnsi"/>
              </w:rPr>
            </w:pPr>
          </w:p>
        </w:tc>
        <w:tc>
          <w:tcPr>
            <w:tcW w:w="810" w:type="dxa"/>
          </w:tcPr>
          <w:p w14:paraId="195AC829" w14:textId="77777777" w:rsidR="00CA2DA0" w:rsidRDefault="00CA2DA0" w:rsidP="00DA76AC">
            <w:pPr>
              <w:spacing w:after="0"/>
              <w:rPr>
                <w:rFonts w:cstheme="minorHAnsi"/>
              </w:rPr>
            </w:pPr>
            <w:r>
              <w:rPr>
                <w:rFonts w:cstheme="minorHAnsi"/>
              </w:rPr>
              <w:t>12/2</w:t>
            </w:r>
          </w:p>
        </w:tc>
        <w:tc>
          <w:tcPr>
            <w:tcW w:w="11335" w:type="dxa"/>
            <w:gridSpan w:val="4"/>
          </w:tcPr>
          <w:p w14:paraId="6D8C026E" w14:textId="23C66DB9" w:rsidR="00CA2DA0" w:rsidRPr="004F4616" w:rsidRDefault="00CA2DA0" w:rsidP="00DA76AC">
            <w:pPr>
              <w:spacing w:after="0"/>
              <w:rPr>
                <w:rFonts w:cstheme="minorHAnsi"/>
              </w:rPr>
            </w:pPr>
            <w:r w:rsidRPr="00CA2DA0">
              <w:rPr>
                <w:rFonts w:cstheme="minorHAnsi"/>
              </w:rPr>
              <w:t>Presentations</w:t>
            </w:r>
            <w:r w:rsidR="00305022">
              <w:rPr>
                <w:rFonts w:cstheme="minorHAnsi"/>
              </w:rPr>
              <w:t xml:space="preserve"> (Service learning)</w:t>
            </w:r>
          </w:p>
        </w:tc>
      </w:tr>
      <w:tr w:rsidR="00915316" w:rsidRPr="004F4616" w14:paraId="10156B70" w14:textId="77777777" w:rsidTr="00241141">
        <w:tc>
          <w:tcPr>
            <w:tcW w:w="805" w:type="dxa"/>
          </w:tcPr>
          <w:p w14:paraId="32344B0B" w14:textId="77777777" w:rsidR="00915316" w:rsidRPr="004F4616" w:rsidRDefault="00915316" w:rsidP="00DA76AC">
            <w:pPr>
              <w:spacing w:after="0"/>
              <w:jc w:val="center"/>
              <w:rPr>
                <w:rFonts w:cstheme="minorHAnsi"/>
              </w:rPr>
            </w:pPr>
            <w:r>
              <w:rPr>
                <w:rFonts w:cstheme="minorHAnsi"/>
              </w:rPr>
              <w:t>Finals Week</w:t>
            </w:r>
          </w:p>
        </w:tc>
        <w:tc>
          <w:tcPr>
            <w:tcW w:w="810" w:type="dxa"/>
          </w:tcPr>
          <w:p w14:paraId="1B2FAB48" w14:textId="77777777" w:rsidR="00915316" w:rsidRDefault="00915316" w:rsidP="00DA76AC">
            <w:pPr>
              <w:spacing w:after="0"/>
              <w:rPr>
                <w:rFonts w:cstheme="minorHAnsi"/>
              </w:rPr>
            </w:pPr>
            <w:r>
              <w:rPr>
                <w:rFonts w:cstheme="minorHAnsi"/>
              </w:rPr>
              <w:t>12/8</w:t>
            </w:r>
          </w:p>
        </w:tc>
        <w:tc>
          <w:tcPr>
            <w:tcW w:w="11335" w:type="dxa"/>
            <w:gridSpan w:val="4"/>
          </w:tcPr>
          <w:p w14:paraId="0ECAAB2C" w14:textId="0AF66129" w:rsidR="00915316" w:rsidRPr="004F4616" w:rsidRDefault="00305022" w:rsidP="00DA76AC">
            <w:pPr>
              <w:spacing w:after="0"/>
              <w:rPr>
                <w:rFonts w:cstheme="minorHAnsi"/>
              </w:rPr>
            </w:pPr>
            <w:r>
              <w:rPr>
                <w:rFonts w:cstheme="minorHAnsi"/>
              </w:rPr>
              <w:t>Presentations: Care</w:t>
            </w:r>
            <w:r w:rsidR="00DD1724">
              <w:rPr>
                <w:rFonts w:cstheme="minorHAnsi"/>
              </w:rPr>
              <w:t>er track exercise</w:t>
            </w:r>
            <w:r w:rsidR="00915316">
              <w:rPr>
                <w:rFonts w:cstheme="minorHAnsi"/>
              </w:rPr>
              <w:t xml:space="preserve"> </w:t>
            </w:r>
          </w:p>
        </w:tc>
      </w:tr>
    </w:tbl>
    <w:p w14:paraId="16F0D169" w14:textId="77777777" w:rsidR="00AE56EA" w:rsidRDefault="00AE56EA">
      <w:pPr>
        <w:rPr>
          <w:rFonts w:cs="Arial"/>
        </w:rPr>
      </w:pPr>
    </w:p>
    <w:p w14:paraId="6A1788A3" w14:textId="77777777" w:rsidR="00AE56EA" w:rsidRDefault="00AE56EA">
      <w:pPr>
        <w:rPr>
          <w:rFonts w:cs="Arial"/>
        </w:rPr>
      </w:pPr>
    </w:p>
    <w:p w14:paraId="699B744B" w14:textId="77777777" w:rsidR="00112594" w:rsidRDefault="00112594"/>
    <w:sectPr w:rsidR="00112594" w:rsidSect="0091531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50D"/>
    <w:multiLevelType w:val="hybridMultilevel"/>
    <w:tmpl w:val="03923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D30AFA"/>
    <w:multiLevelType w:val="hybridMultilevel"/>
    <w:tmpl w:val="8378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F0935"/>
    <w:multiLevelType w:val="hybridMultilevel"/>
    <w:tmpl w:val="D980C43C"/>
    <w:lvl w:ilvl="0" w:tplc="9070AE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02CD4"/>
    <w:multiLevelType w:val="hybridMultilevel"/>
    <w:tmpl w:val="4FBA1B6A"/>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BA556D7"/>
    <w:multiLevelType w:val="hybridMultilevel"/>
    <w:tmpl w:val="6E52CA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9A6C92"/>
    <w:multiLevelType w:val="hybridMultilevel"/>
    <w:tmpl w:val="443AD132"/>
    <w:lvl w:ilvl="0" w:tplc="84E246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6950048"/>
    <w:multiLevelType w:val="hybridMultilevel"/>
    <w:tmpl w:val="72CC6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C36AE"/>
    <w:multiLevelType w:val="hybridMultilevel"/>
    <w:tmpl w:val="E520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3D1321"/>
    <w:multiLevelType w:val="hybridMultilevel"/>
    <w:tmpl w:val="14660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13006"/>
    <w:multiLevelType w:val="multilevel"/>
    <w:tmpl w:val="4516A9FC"/>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13" w15:restartNumberingAfterBreak="0">
    <w:nsid w:val="6DF52E51"/>
    <w:multiLevelType w:val="multilevel"/>
    <w:tmpl w:val="4724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E044BF"/>
    <w:multiLevelType w:val="hybridMultilevel"/>
    <w:tmpl w:val="4D004B8A"/>
    <w:lvl w:ilvl="0" w:tplc="04090019">
      <w:start w:val="1"/>
      <w:numFmt w:val="lowerLetter"/>
      <w:lvlText w:val="%1."/>
      <w:lvlJc w:val="left"/>
      <w:pPr>
        <w:ind w:left="900" w:hanging="360"/>
      </w:p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2712EEC"/>
    <w:multiLevelType w:val="hybridMultilevel"/>
    <w:tmpl w:val="C22453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8D1EC6"/>
    <w:multiLevelType w:val="hybridMultilevel"/>
    <w:tmpl w:val="89E6B758"/>
    <w:lvl w:ilvl="0" w:tplc="9070AE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16"/>
  </w:num>
  <w:num w:numId="5">
    <w:abstractNumId w:val="3"/>
  </w:num>
  <w:num w:numId="6">
    <w:abstractNumId w:val="0"/>
  </w:num>
  <w:num w:numId="7">
    <w:abstractNumId w:val="6"/>
  </w:num>
  <w:num w:numId="8">
    <w:abstractNumId w:val="1"/>
  </w:num>
  <w:num w:numId="9">
    <w:abstractNumId w:val="10"/>
  </w:num>
  <w:num w:numId="10">
    <w:abstractNumId w:val="11"/>
  </w:num>
  <w:num w:numId="11">
    <w:abstractNumId w:val="12"/>
  </w:num>
  <w:num w:numId="12">
    <w:abstractNumId w:val="13"/>
  </w:num>
  <w:num w:numId="13">
    <w:abstractNumId w:val="4"/>
  </w:num>
  <w:num w:numId="14">
    <w:abstractNumId w:val="14"/>
  </w:num>
  <w:num w:numId="15">
    <w:abstractNumId w:val="5"/>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DB"/>
    <w:rsid w:val="000322B4"/>
    <w:rsid w:val="000C27F2"/>
    <w:rsid w:val="000C2FDF"/>
    <w:rsid w:val="000D571D"/>
    <w:rsid w:val="000E041E"/>
    <w:rsid w:val="000E52F1"/>
    <w:rsid w:val="000F60E2"/>
    <w:rsid w:val="00112594"/>
    <w:rsid w:val="00117188"/>
    <w:rsid w:val="00130E42"/>
    <w:rsid w:val="001654B3"/>
    <w:rsid w:val="0016717C"/>
    <w:rsid w:val="00187646"/>
    <w:rsid w:val="001D54A6"/>
    <w:rsid w:val="001D7565"/>
    <w:rsid w:val="00204AA0"/>
    <w:rsid w:val="00234F22"/>
    <w:rsid w:val="00241141"/>
    <w:rsid w:val="00266E44"/>
    <w:rsid w:val="002677E1"/>
    <w:rsid w:val="00292535"/>
    <w:rsid w:val="002B4161"/>
    <w:rsid w:val="0030290D"/>
    <w:rsid w:val="00305022"/>
    <w:rsid w:val="00346F1D"/>
    <w:rsid w:val="00361CDB"/>
    <w:rsid w:val="00386113"/>
    <w:rsid w:val="00387493"/>
    <w:rsid w:val="003A4AFB"/>
    <w:rsid w:val="003A520C"/>
    <w:rsid w:val="003B20AF"/>
    <w:rsid w:val="003E2BCF"/>
    <w:rsid w:val="003E78A8"/>
    <w:rsid w:val="004016A2"/>
    <w:rsid w:val="004C23DD"/>
    <w:rsid w:val="004E6CD5"/>
    <w:rsid w:val="00507983"/>
    <w:rsid w:val="0054625E"/>
    <w:rsid w:val="00574A9A"/>
    <w:rsid w:val="00576BE5"/>
    <w:rsid w:val="00594A7D"/>
    <w:rsid w:val="005B2DCE"/>
    <w:rsid w:val="005D5536"/>
    <w:rsid w:val="005D600A"/>
    <w:rsid w:val="005F66B9"/>
    <w:rsid w:val="00621D66"/>
    <w:rsid w:val="006A3CBA"/>
    <w:rsid w:val="006C4C61"/>
    <w:rsid w:val="006F78E8"/>
    <w:rsid w:val="0075451C"/>
    <w:rsid w:val="00756BBC"/>
    <w:rsid w:val="007E0A71"/>
    <w:rsid w:val="007F56B0"/>
    <w:rsid w:val="00842C0A"/>
    <w:rsid w:val="00855422"/>
    <w:rsid w:val="008B0AB4"/>
    <w:rsid w:val="008B668B"/>
    <w:rsid w:val="008C2A0A"/>
    <w:rsid w:val="009006FA"/>
    <w:rsid w:val="00915316"/>
    <w:rsid w:val="00940CD9"/>
    <w:rsid w:val="00944769"/>
    <w:rsid w:val="0095072A"/>
    <w:rsid w:val="0097458F"/>
    <w:rsid w:val="009B2181"/>
    <w:rsid w:val="009B4D87"/>
    <w:rsid w:val="009D6194"/>
    <w:rsid w:val="009E3780"/>
    <w:rsid w:val="00A50BB3"/>
    <w:rsid w:val="00A7284E"/>
    <w:rsid w:val="00A82E79"/>
    <w:rsid w:val="00A96048"/>
    <w:rsid w:val="00AE56EA"/>
    <w:rsid w:val="00AF5309"/>
    <w:rsid w:val="00B11B67"/>
    <w:rsid w:val="00B67497"/>
    <w:rsid w:val="00B854DF"/>
    <w:rsid w:val="00B94034"/>
    <w:rsid w:val="00BC0E7D"/>
    <w:rsid w:val="00BD02BC"/>
    <w:rsid w:val="00C022B1"/>
    <w:rsid w:val="00C66454"/>
    <w:rsid w:val="00CA2DA0"/>
    <w:rsid w:val="00CC0A49"/>
    <w:rsid w:val="00CE4E04"/>
    <w:rsid w:val="00D01A63"/>
    <w:rsid w:val="00D32479"/>
    <w:rsid w:val="00DA76AC"/>
    <w:rsid w:val="00DC4F6C"/>
    <w:rsid w:val="00DC6F7D"/>
    <w:rsid w:val="00DD1724"/>
    <w:rsid w:val="00DD4FC5"/>
    <w:rsid w:val="00DD5A81"/>
    <w:rsid w:val="00DF073E"/>
    <w:rsid w:val="00E317B2"/>
    <w:rsid w:val="00E415F4"/>
    <w:rsid w:val="00E867BA"/>
    <w:rsid w:val="00EA040A"/>
    <w:rsid w:val="00EB0A6F"/>
    <w:rsid w:val="00F01FE0"/>
    <w:rsid w:val="00F11704"/>
    <w:rsid w:val="00F175A2"/>
    <w:rsid w:val="00F24E13"/>
    <w:rsid w:val="00F55654"/>
    <w:rsid w:val="00FD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0914"/>
  <w15:chartTrackingRefBased/>
  <w15:docId w15:val="{733D2533-3CDD-47E0-BEB1-7C23863B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54"/>
    <w:pPr>
      <w:spacing w:after="200" w:line="276" w:lineRule="auto"/>
    </w:pPr>
  </w:style>
  <w:style w:type="paragraph" w:styleId="Heading1">
    <w:name w:val="heading 1"/>
    <w:basedOn w:val="Normal"/>
    <w:next w:val="Normal"/>
    <w:link w:val="Heading1Char"/>
    <w:uiPriority w:val="9"/>
    <w:qFormat/>
    <w:rsid w:val="00F55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56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56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56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565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55654"/>
    <w:rPr>
      <w:color w:val="0563C1" w:themeColor="hyperlink"/>
      <w:u w:val="single"/>
    </w:rPr>
  </w:style>
  <w:style w:type="paragraph" w:styleId="ListParagraph">
    <w:name w:val="List Paragraph"/>
    <w:basedOn w:val="Normal"/>
    <w:uiPriority w:val="34"/>
    <w:qFormat/>
    <w:rsid w:val="00F55654"/>
    <w:pPr>
      <w:ind w:left="720"/>
      <w:contextualSpacing/>
    </w:pPr>
  </w:style>
  <w:style w:type="character" w:styleId="SubtleEmphasis">
    <w:name w:val="Subtle Emphasis"/>
    <w:basedOn w:val="DefaultParagraphFont"/>
    <w:uiPriority w:val="19"/>
    <w:qFormat/>
    <w:rsid w:val="00F55654"/>
    <w:rPr>
      <w:i/>
      <w:iCs/>
      <w:color w:val="404040" w:themeColor="text1" w:themeTint="BF"/>
    </w:rPr>
  </w:style>
  <w:style w:type="paragraph" w:styleId="Subtitle">
    <w:name w:val="Subtitle"/>
    <w:basedOn w:val="Normal"/>
    <w:next w:val="Normal"/>
    <w:link w:val="SubtitleChar"/>
    <w:uiPriority w:val="11"/>
    <w:qFormat/>
    <w:rsid w:val="00F5565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5654"/>
    <w:rPr>
      <w:rFonts w:eastAsiaTheme="minorEastAsia"/>
      <w:color w:val="5A5A5A" w:themeColor="text1" w:themeTint="A5"/>
      <w:spacing w:val="15"/>
    </w:rPr>
  </w:style>
  <w:style w:type="table" w:styleId="TableGrid">
    <w:name w:val="Table Grid"/>
    <w:basedOn w:val="TableNormal"/>
    <w:uiPriority w:val="39"/>
    <w:rsid w:val="00F5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604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717C"/>
    <w:rPr>
      <w:color w:val="605E5C"/>
      <w:shd w:val="clear" w:color="auto" w:fill="E1DFDD"/>
    </w:rPr>
  </w:style>
  <w:style w:type="character" w:customStyle="1" w:styleId="screenreader-only">
    <w:name w:val="screenreader-only"/>
    <w:basedOn w:val="DefaultParagraphFont"/>
    <w:rsid w:val="007F56B0"/>
  </w:style>
  <w:style w:type="character" w:styleId="FollowedHyperlink">
    <w:name w:val="FollowedHyperlink"/>
    <w:basedOn w:val="DefaultParagraphFont"/>
    <w:uiPriority w:val="99"/>
    <w:semiHidden/>
    <w:unhideWhenUsed/>
    <w:rsid w:val="00D324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328">
      <w:bodyDiv w:val="1"/>
      <w:marLeft w:val="0"/>
      <w:marRight w:val="0"/>
      <w:marTop w:val="0"/>
      <w:marBottom w:val="0"/>
      <w:divBdr>
        <w:top w:val="none" w:sz="0" w:space="0" w:color="auto"/>
        <w:left w:val="none" w:sz="0" w:space="0" w:color="auto"/>
        <w:bottom w:val="none" w:sz="0" w:space="0" w:color="auto"/>
        <w:right w:val="none" w:sz="0" w:space="0" w:color="auto"/>
      </w:divBdr>
    </w:div>
    <w:div w:id="95278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www.unicef.org/globalinsight/reports/digital-civic-engagement-young-people" TargetMode="External"/><Relationship Id="rId18" Type="http://schemas.openxmlformats.org/officeDocument/2006/relationships/hyperlink" Target="https://www.youtube.com/watch?v=Diuv3XZQXyc" TargetMode="External"/><Relationship Id="rId26" Type="http://schemas.openxmlformats.org/officeDocument/2006/relationships/hyperlink" Target="https://www.fidelitycharitable.org/insights/2021-future-of-philanthropy/new-definition.html" TargetMode="External"/><Relationship Id="rId3" Type="http://schemas.openxmlformats.org/officeDocument/2006/relationships/settings" Target="settings.xml"/><Relationship Id="rId21" Type="http://schemas.openxmlformats.org/officeDocument/2006/relationships/hyperlink" Target="https://tif.ssrc.org/2019/08/14/comparing-faith-and-philanthropy-at-home-and-abroad/" TargetMode="External"/><Relationship Id="rId7" Type="http://schemas.openxmlformats.org/officeDocument/2006/relationships/hyperlink" Target="https://sites.auburn.edu/admin/universitypolicies/Policies/PolicyonClassroomBehavior.pdf" TargetMode="External"/><Relationship Id="rId12" Type="http://schemas.openxmlformats.org/officeDocument/2006/relationships/hyperlink" Target="https://theconversation.com/why-the-world-still-needs-nonprofits-48211" TargetMode="External"/><Relationship Id="rId17" Type="http://schemas.openxmlformats.org/officeDocument/2006/relationships/hyperlink" Target="https://www.effectivealtruism.org/articles/introduction-to-effective-altruism/" TargetMode="External"/><Relationship Id="rId25" Type="http://schemas.openxmlformats.org/officeDocument/2006/relationships/hyperlink" Target="https://www.fidelitycharitable.org/insights/2021-future-of-philanthropy/new-mindset.html" TargetMode="External"/><Relationship Id="rId2" Type="http://schemas.openxmlformats.org/officeDocument/2006/relationships/styles" Target="styles.xml"/><Relationship Id="rId16" Type="http://schemas.openxmlformats.org/officeDocument/2006/relationships/hyperlink" Target="https://www.brookings.edu/blog/up-front/2019/04/08/feeling-good-or-doing-good-emotional-social-capital-versus-relational-social-capital/" TargetMode="External"/><Relationship Id="rId20" Type="http://schemas.openxmlformats.org/officeDocument/2006/relationships/hyperlink" Target="https://theconversation.com/why-faith-inspires-people-to-give-8820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p.auburn.edu/biggio/canvas/student-help/" TargetMode="External"/><Relationship Id="rId11" Type="http://schemas.openxmlformats.org/officeDocument/2006/relationships/hyperlink" Target="https://nonprofitquarterly.org/in-but-not-of-the-market-the-special-challenge-of-nonprofit-ness/" TargetMode="External"/><Relationship Id="rId24" Type="http://schemas.openxmlformats.org/officeDocument/2006/relationships/hyperlink" Target="https://www.fidelitycharitable.org/insights/2021-future-of-philanthropy.html" TargetMode="External"/><Relationship Id="rId5" Type="http://schemas.openxmlformats.org/officeDocument/2006/relationships/hyperlink" Target="mailto:pcw0015@auborn.edu" TargetMode="External"/><Relationship Id="rId15" Type="http://schemas.openxmlformats.org/officeDocument/2006/relationships/hyperlink" Target="https://theconversation.com/how-to-get-more-americans-to-volunteer-88835" TargetMode="External"/><Relationship Id="rId23" Type="http://schemas.openxmlformats.org/officeDocument/2006/relationships/hyperlink" Target="https://www.youtube.com/watch?v=aSL-iIskEFU" TargetMode="External"/><Relationship Id="rId28" Type="http://schemas.openxmlformats.org/officeDocument/2006/relationships/hyperlink" Target="https://ssir.org/books/excerpts/entry/show_me_the_impact" TargetMode="External"/><Relationship Id="rId10" Type="http://schemas.openxmlformats.org/officeDocument/2006/relationships/hyperlink" Target="https://www.youtube.com/watch?v=LIUXNHMZUOY" TargetMode="External"/><Relationship Id="rId19" Type="http://schemas.openxmlformats.org/officeDocument/2006/relationships/hyperlink" Target="https://ssir.org/articles/entry/community_engagement_matters_now_more_than_ev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s://www.youtube.com/watch?v=5hXFwMyK1KE" TargetMode="External"/><Relationship Id="rId22" Type="http://schemas.openxmlformats.org/officeDocument/2006/relationships/hyperlink" Target="https://greatergood.berkeley.edu/article/item/how_to_help_kids_learn_to_love_giving" TargetMode="External"/><Relationship Id="rId27" Type="http://schemas.openxmlformats.org/officeDocument/2006/relationships/hyperlink" Target="https://www.fidelitycharitable.org/insights/2021-future-of-philanthropy/worlds-greatest-challenge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1378</TotalTime>
  <Pages>12</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Weber</dc:creator>
  <cp:keywords/>
  <dc:description/>
  <cp:lastModifiedBy>Peter Weber</cp:lastModifiedBy>
  <cp:revision>54</cp:revision>
  <dcterms:created xsi:type="dcterms:W3CDTF">2021-01-20T18:20:00Z</dcterms:created>
  <dcterms:modified xsi:type="dcterms:W3CDTF">2021-10-25T19:43:00Z</dcterms:modified>
</cp:coreProperties>
</file>